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005214"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2B5999F7" w14:textId="77777777" w:rsidR="003F3A62" w:rsidRPr="003F3A62" w:rsidRDefault="003F3A62" w:rsidP="003F3A62">
      <w:pPr>
        <w:spacing w:line="240" w:lineRule="auto"/>
        <w:jc w:val="both"/>
        <w:rPr>
          <w:rFonts w:ascii="Times New Roman" w:hAnsi="Times New Roman" w:cs="Times New Roman"/>
          <w:b/>
          <w:sz w:val="16"/>
          <w:szCs w:val="16"/>
        </w:rPr>
      </w:pPr>
    </w:p>
    <w:p w14:paraId="27746443" w14:textId="0597560E"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287D62">
        <w:rPr>
          <w:rFonts w:ascii="Times New Roman" w:hAnsi="Times New Roman" w:cs="Times New Roman"/>
          <w:b/>
          <w:sz w:val="24"/>
          <w:szCs w:val="24"/>
        </w:rPr>
        <w:t>JANUARY 11, 2022</w:t>
      </w:r>
      <w:r>
        <w:rPr>
          <w:rFonts w:ascii="Times New Roman" w:hAnsi="Times New Roman" w:cs="Times New Roman"/>
          <w:b/>
          <w:sz w:val="24"/>
          <w:szCs w:val="24"/>
        </w:rPr>
        <w:t xml:space="preserve"> </w:t>
      </w:r>
    </w:p>
    <w:p w14:paraId="3737156A" w14:textId="7BE3A239"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531335">
        <w:rPr>
          <w:rFonts w:ascii="Times New Roman" w:hAnsi="Times New Roman" w:cs="Times New Roman"/>
          <w:b/>
          <w:sz w:val="24"/>
          <w:szCs w:val="24"/>
        </w:rPr>
        <w:t>FINANCE</w:t>
      </w:r>
      <w:r w:rsidR="00080912" w:rsidRPr="00893FED">
        <w:rPr>
          <w:rFonts w:ascii="Times New Roman" w:hAnsi="Times New Roman" w:cs="Times New Roman"/>
          <w:b/>
          <w:sz w:val="24"/>
          <w:szCs w:val="24"/>
        </w:rPr>
        <w:t xml:space="preserve"> </w:t>
      </w:r>
    </w:p>
    <w:p w14:paraId="573D4A64" w14:textId="10260739" w:rsidR="00080912" w:rsidRPr="00893FED"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531335">
        <w:rPr>
          <w:rFonts w:ascii="Times New Roman" w:hAnsi="Times New Roman" w:cs="Times New Roman"/>
          <w:b/>
          <w:sz w:val="24"/>
          <w:szCs w:val="24"/>
        </w:rPr>
        <w:t>MARK ROBERTS, DIRECTOR OF FINANCE</w:t>
      </w:r>
      <w:r w:rsidR="00AC3815" w:rsidRPr="00893FED">
        <w:rPr>
          <w:rFonts w:ascii="Times New Roman" w:hAnsi="Times New Roman" w:cs="Times New Roman"/>
          <w:b/>
          <w:sz w:val="24"/>
          <w:szCs w:val="24"/>
        </w:rPr>
        <w:tab/>
      </w:r>
    </w:p>
    <w:p w14:paraId="655BB1B9" w14:textId="533125BB" w:rsidR="00F6747A" w:rsidRPr="00893FED" w:rsidRDefault="0061564A" w:rsidP="001C2CE6">
      <w:pPr>
        <w:spacing w:after="0" w:line="240" w:lineRule="auto"/>
        <w:ind w:left="2160" w:hanging="2160"/>
        <w:jc w:val="both"/>
        <w:rPr>
          <w:rFonts w:ascii="Times New Roman" w:eastAsia="Times New Roman" w:hAnsi="Times New Roman" w:cs="Times New Roman"/>
          <w:b/>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531335">
        <w:rPr>
          <w:rFonts w:ascii="Times New Roman" w:hAnsi="Times New Roman" w:cs="Times New Roman"/>
          <w:b/>
          <w:sz w:val="24"/>
          <w:szCs w:val="24"/>
        </w:rPr>
        <w:t xml:space="preserve">FISCAL YEAR 2021 </w:t>
      </w:r>
      <w:r w:rsidR="001C2CE6">
        <w:rPr>
          <w:rFonts w:ascii="Times New Roman" w:hAnsi="Times New Roman" w:cs="Times New Roman"/>
          <w:b/>
          <w:sz w:val="24"/>
          <w:szCs w:val="24"/>
        </w:rPr>
        <w:t>SPENDABLE FUND</w:t>
      </w:r>
      <w:r w:rsidR="00342781">
        <w:rPr>
          <w:rFonts w:ascii="Times New Roman" w:hAnsi="Times New Roman" w:cs="Times New Roman"/>
          <w:b/>
          <w:sz w:val="24"/>
          <w:szCs w:val="24"/>
        </w:rPr>
        <w:t xml:space="preserve"> BALANCE</w:t>
      </w:r>
    </w:p>
    <w:p w14:paraId="09BDE66B" w14:textId="39AE16E6" w:rsidR="00E141DE" w:rsidRPr="00893FED" w:rsidRDefault="007C7390" w:rsidP="00E130E8">
      <w:pPr>
        <w:spacing w:after="0" w:line="240" w:lineRule="auto"/>
        <w:jc w:val="both"/>
        <w:rPr>
          <w:rFonts w:ascii="Times New Roman" w:hAnsi="Times New Roman" w:cs="Times New Roman"/>
          <w:b/>
          <w:i/>
          <w:sz w:val="24"/>
          <w:szCs w:val="24"/>
        </w:rPr>
      </w:pPr>
      <w:r w:rsidRPr="00893FED">
        <w:rPr>
          <w:rFonts w:ascii="Times New Roman" w:hAnsi="Times New Roman" w:cs="Times New Roman"/>
          <w:b/>
          <w:sz w:val="24"/>
          <w:szCs w:val="24"/>
        </w:rPr>
        <w:tab/>
      </w:r>
      <w:r w:rsidRPr="00893FED">
        <w:rPr>
          <w:rFonts w:ascii="Times New Roman" w:hAnsi="Times New Roman" w:cs="Times New Roman"/>
          <w:b/>
          <w:sz w:val="24"/>
          <w:szCs w:val="24"/>
        </w:rPr>
        <w:tab/>
      </w:r>
      <w:r w:rsidRPr="00893FED">
        <w:rPr>
          <w:rFonts w:ascii="Times New Roman" w:hAnsi="Times New Roman" w:cs="Times New Roman"/>
          <w:b/>
          <w:sz w:val="24"/>
          <w:szCs w:val="24"/>
        </w:rPr>
        <w:tab/>
      </w:r>
    </w:p>
    <w:p w14:paraId="553D530A"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6A5ABEF1" w14:textId="64389731" w:rsidR="00080912" w:rsidRPr="00893FED" w:rsidRDefault="00287D62"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BACKGROUND</w:t>
      </w:r>
      <w:r w:rsidR="00080912" w:rsidRPr="007C2A2F">
        <w:rPr>
          <w:rFonts w:ascii="Times New Roman" w:hAnsi="Times New Roman" w:cs="Times New Roman"/>
          <w:sz w:val="24"/>
          <w:szCs w:val="24"/>
        </w:rPr>
        <w:t xml:space="preserve">: </w:t>
      </w:r>
    </w:p>
    <w:p w14:paraId="365C2148"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012589EE" w14:textId="60DE1239" w:rsidR="00504099" w:rsidRDefault="00AD494E" w:rsidP="00E130E8">
      <w:pPr>
        <w:spacing w:after="0" w:line="240" w:lineRule="auto"/>
        <w:jc w:val="both"/>
        <w:rPr>
          <w:rFonts w:ascii="Times New Roman" w:hAnsi="Times New Roman" w:cs="Times New Roman"/>
          <w:iCs/>
          <w:sz w:val="24"/>
          <w:szCs w:val="24"/>
        </w:rPr>
      </w:pPr>
      <w:r w:rsidRPr="00AD494E">
        <w:rPr>
          <w:rFonts w:ascii="Times New Roman" w:hAnsi="Times New Roman" w:cs="Times New Roman"/>
          <w:iCs/>
          <w:sz w:val="24"/>
          <w:szCs w:val="24"/>
        </w:rPr>
        <w:t xml:space="preserve">Each year </w:t>
      </w:r>
      <w:r w:rsidR="00531335">
        <w:rPr>
          <w:rFonts w:ascii="Times New Roman" w:hAnsi="Times New Roman" w:cs="Times New Roman"/>
          <w:iCs/>
          <w:sz w:val="24"/>
          <w:szCs w:val="24"/>
        </w:rPr>
        <w:t xml:space="preserve">Department of Finance </w:t>
      </w:r>
      <w:r w:rsidRPr="00AD494E">
        <w:rPr>
          <w:rFonts w:ascii="Times New Roman" w:hAnsi="Times New Roman" w:cs="Times New Roman"/>
          <w:iCs/>
          <w:sz w:val="24"/>
          <w:szCs w:val="24"/>
        </w:rPr>
        <w:t xml:space="preserve">staff estimates </w:t>
      </w:r>
      <w:r>
        <w:rPr>
          <w:rFonts w:ascii="Times New Roman" w:hAnsi="Times New Roman" w:cs="Times New Roman"/>
          <w:iCs/>
          <w:sz w:val="24"/>
          <w:szCs w:val="24"/>
        </w:rPr>
        <w:t xml:space="preserve">the </w:t>
      </w:r>
      <w:r w:rsidR="00342781">
        <w:rPr>
          <w:rFonts w:ascii="Times New Roman" w:hAnsi="Times New Roman" w:cs="Times New Roman"/>
          <w:iCs/>
          <w:sz w:val="24"/>
          <w:szCs w:val="24"/>
        </w:rPr>
        <w:t>spendable fund balance</w:t>
      </w:r>
      <w:r w:rsidR="00006377">
        <w:rPr>
          <w:rFonts w:ascii="Times New Roman" w:hAnsi="Times New Roman" w:cs="Times New Roman"/>
          <w:iCs/>
          <w:sz w:val="24"/>
          <w:szCs w:val="24"/>
        </w:rPr>
        <w:t>*</w:t>
      </w:r>
      <w:r w:rsidRPr="00AD494E">
        <w:rPr>
          <w:rFonts w:ascii="Times New Roman" w:hAnsi="Times New Roman" w:cs="Times New Roman"/>
          <w:iCs/>
          <w:sz w:val="24"/>
          <w:szCs w:val="24"/>
        </w:rPr>
        <w:t xml:space="preserve"> available in the City’s </w:t>
      </w:r>
      <w:r w:rsidRPr="007902EB">
        <w:rPr>
          <w:rFonts w:ascii="Times New Roman" w:hAnsi="Times New Roman" w:cs="Times New Roman"/>
          <w:iCs/>
          <w:sz w:val="24"/>
          <w:szCs w:val="24"/>
        </w:rPr>
        <w:t>General Fund, Measure E Fund, and Measure G Fund</w:t>
      </w:r>
      <w:r w:rsidR="007902EB" w:rsidRPr="007902EB">
        <w:rPr>
          <w:rFonts w:ascii="Times New Roman" w:hAnsi="Times New Roman" w:cs="Times New Roman"/>
          <w:iCs/>
          <w:sz w:val="24"/>
          <w:szCs w:val="24"/>
        </w:rPr>
        <w:t xml:space="preserve"> (collectively, “general funds”</w:t>
      </w:r>
      <w:r w:rsidR="004908C2" w:rsidRPr="007902EB">
        <w:rPr>
          <w:rFonts w:ascii="Times New Roman" w:hAnsi="Times New Roman" w:cs="Times New Roman"/>
          <w:iCs/>
          <w:sz w:val="24"/>
          <w:szCs w:val="24"/>
        </w:rPr>
        <w:t>)</w:t>
      </w:r>
      <w:r w:rsidRPr="007902EB">
        <w:rPr>
          <w:rFonts w:ascii="Times New Roman" w:hAnsi="Times New Roman" w:cs="Times New Roman"/>
          <w:iCs/>
          <w:sz w:val="24"/>
          <w:szCs w:val="24"/>
        </w:rPr>
        <w:t xml:space="preserve"> </w:t>
      </w:r>
      <w:r w:rsidR="00531335" w:rsidRPr="007902EB">
        <w:rPr>
          <w:rFonts w:ascii="Times New Roman" w:hAnsi="Times New Roman" w:cs="Times New Roman"/>
          <w:iCs/>
          <w:sz w:val="24"/>
          <w:szCs w:val="24"/>
        </w:rPr>
        <w:t>to</w:t>
      </w:r>
      <w:r w:rsidRPr="007902EB">
        <w:rPr>
          <w:rFonts w:ascii="Times New Roman" w:hAnsi="Times New Roman" w:cs="Times New Roman"/>
          <w:iCs/>
          <w:sz w:val="24"/>
          <w:szCs w:val="24"/>
        </w:rPr>
        <w:t xml:space="preserve"> alloc</w:t>
      </w:r>
      <w:r>
        <w:rPr>
          <w:rFonts w:ascii="Times New Roman" w:hAnsi="Times New Roman" w:cs="Times New Roman"/>
          <w:iCs/>
          <w:sz w:val="24"/>
          <w:szCs w:val="24"/>
        </w:rPr>
        <w:t>at</w:t>
      </w:r>
      <w:r w:rsidR="00531335">
        <w:rPr>
          <w:rFonts w:ascii="Times New Roman" w:hAnsi="Times New Roman" w:cs="Times New Roman"/>
          <w:iCs/>
          <w:sz w:val="24"/>
          <w:szCs w:val="24"/>
        </w:rPr>
        <w:t>e</w:t>
      </w:r>
      <w:r>
        <w:rPr>
          <w:rFonts w:ascii="Times New Roman" w:hAnsi="Times New Roman" w:cs="Times New Roman"/>
          <w:iCs/>
          <w:sz w:val="24"/>
          <w:szCs w:val="24"/>
        </w:rPr>
        <w:t xml:space="preserve"> to the City’s reserves</w:t>
      </w:r>
      <w:r w:rsidR="004A2143">
        <w:rPr>
          <w:rFonts w:ascii="Times New Roman" w:hAnsi="Times New Roman" w:cs="Times New Roman"/>
          <w:iCs/>
          <w:sz w:val="24"/>
          <w:szCs w:val="24"/>
        </w:rPr>
        <w:t xml:space="preserve"> </w:t>
      </w:r>
      <w:r>
        <w:rPr>
          <w:rFonts w:ascii="Times New Roman" w:hAnsi="Times New Roman" w:cs="Times New Roman"/>
          <w:iCs/>
          <w:sz w:val="24"/>
          <w:szCs w:val="24"/>
        </w:rPr>
        <w:t xml:space="preserve">in accordance </w:t>
      </w:r>
      <w:r w:rsidR="004A2143">
        <w:rPr>
          <w:rFonts w:ascii="Times New Roman" w:hAnsi="Times New Roman" w:cs="Times New Roman"/>
          <w:iCs/>
          <w:sz w:val="24"/>
          <w:szCs w:val="24"/>
        </w:rPr>
        <w:t xml:space="preserve">with </w:t>
      </w:r>
      <w:r w:rsidR="00287D62">
        <w:rPr>
          <w:rFonts w:ascii="Times New Roman" w:hAnsi="Times New Roman" w:cs="Times New Roman"/>
          <w:iCs/>
          <w:sz w:val="24"/>
          <w:szCs w:val="24"/>
        </w:rPr>
        <w:t xml:space="preserve">Section II.J of the City’s “Financial Policies” document and to address other critical </w:t>
      </w:r>
      <w:r w:rsidR="00287D62" w:rsidRPr="002C2ADC">
        <w:rPr>
          <w:rFonts w:ascii="Times New Roman" w:hAnsi="Times New Roman" w:cs="Times New Roman"/>
          <w:iCs/>
          <w:sz w:val="24"/>
          <w:szCs w:val="24"/>
        </w:rPr>
        <w:t>needs</w:t>
      </w:r>
      <w:r w:rsidRPr="002C2ADC">
        <w:rPr>
          <w:rFonts w:ascii="Times New Roman" w:hAnsi="Times New Roman" w:cs="Times New Roman"/>
          <w:iCs/>
          <w:sz w:val="24"/>
          <w:szCs w:val="24"/>
        </w:rPr>
        <w:t xml:space="preserve">.  </w:t>
      </w:r>
      <w:r w:rsidR="00342781">
        <w:rPr>
          <w:rFonts w:ascii="Times New Roman" w:hAnsi="Times New Roman" w:cs="Times New Roman"/>
          <w:iCs/>
          <w:sz w:val="24"/>
          <w:szCs w:val="24"/>
        </w:rPr>
        <w:t xml:space="preserve">Spendable fund </w:t>
      </w:r>
      <w:r w:rsidR="00287D62" w:rsidRPr="002C2ADC">
        <w:rPr>
          <w:rFonts w:ascii="Times New Roman" w:hAnsi="Times New Roman" w:cs="Times New Roman"/>
          <w:iCs/>
          <w:sz w:val="24"/>
          <w:szCs w:val="24"/>
        </w:rPr>
        <w:t xml:space="preserve">balance is the </w:t>
      </w:r>
      <w:r w:rsidR="007B5C29" w:rsidRPr="002C2ADC">
        <w:rPr>
          <w:rFonts w:ascii="Times New Roman" w:hAnsi="Times New Roman" w:cs="Times New Roman"/>
          <w:iCs/>
          <w:sz w:val="24"/>
          <w:szCs w:val="24"/>
        </w:rPr>
        <w:t>unreserved cash balance</w:t>
      </w:r>
      <w:r w:rsidR="00115D2C" w:rsidRPr="002C2ADC">
        <w:rPr>
          <w:rFonts w:ascii="Times New Roman" w:hAnsi="Times New Roman" w:cs="Times New Roman"/>
          <w:iCs/>
          <w:sz w:val="24"/>
          <w:szCs w:val="24"/>
        </w:rPr>
        <w:t xml:space="preserve"> </w:t>
      </w:r>
      <w:r w:rsidR="00F77C73" w:rsidRPr="002C2ADC">
        <w:rPr>
          <w:rFonts w:ascii="Times New Roman" w:hAnsi="Times New Roman" w:cs="Times New Roman"/>
          <w:iCs/>
          <w:sz w:val="24"/>
          <w:szCs w:val="24"/>
        </w:rPr>
        <w:t xml:space="preserve">resulting from prior </w:t>
      </w:r>
      <w:r w:rsidR="002C2ADC">
        <w:rPr>
          <w:rFonts w:ascii="Times New Roman" w:hAnsi="Times New Roman" w:cs="Times New Roman"/>
          <w:iCs/>
          <w:sz w:val="24"/>
          <w:szCs w:val="24"/>
        </w:rPr>
        <w:t xml:space="preserve">fiscal </w:t>
      </w:r>
      <w:r w:rsidR="00F77C73" w:rsidRPr="002C2ADC">
        <w:rPr>
          <w:rFonts w:ascii="Times New Roman" w:hAnsi="Times New Roman" w:cs="Times New Roman"/>
          <w:iCs/>
          <w:sz w:val="24"/>
          <w:szCs w:val="24"/>
        </w:rPr>
        <w:t>years’ operations (</w:t>
      </w:r>
      <w:r w:rsidR="007B5C29" w:rsidRPr="002C2ADC">
        <w:rPr>
          <w:rFonts w:ascii="Times New Roman" w:hAnsi="Times New Roman" w:cs="Times New Roman"/>
          <w:iCs/>
          <w:sz w:val="24"/>
          <w:szCs w:val="24"/>
        </w:rPr>
        <w:t xml:space="preserve">essentially, </w:t>
      </w:r>
      <w:r w:rsidR="00F77C73" w:rsidRPr="002C2ADC">
        <w:rPr>
          <w:rFonts w:ascii="Times New Roman" w:hAnsi="Times New Roman" w:cs="Times New Roman"/>
          <w:iCs/>
          <w:sz w:val="24"/>
          <w:szCs w:val="24"/>
        </w:rPr>
        <w:t>revenues minus expenditures)</w:t>
      </w:r>
      <w:r w:rsidR="008F4F89" w:rsidRPr="002C2ADC">
        <w:rPr>
          <w:rFonts w:ascii="Times New Roman" w:hAnsi="Times New Roman" w:cs="Times New Roman"/>
          <w:iCs/>
          <w:sz w:val="24"/>
          <w:szCs w:val="24"/>
        </w:rPr>
        <w:t xml:space="preserve"> offset by appropriations carried forward from the prior year to the current</w:t>
      </w:r>
      <w:r w:rsidR="002C2ADC">
        <w:rPr>
          <w:rFonts w:ascii="Times New Roman" w:hAnsi="Times New Roman" w:cs="Times New Roman"/>
          <w:iCs/>
          <w:sz w:val="24"/>
          <w:szCs w:val="24"/>
        </w:rPr>
        <w:t xml:space="preserve"> year</w:t>
      </w:r>
      <w:r w:rsidR="00F77C73" w:rsidRPr="002C2ADC">
        <w:rPr>
          <w:rFonts w:ascii="Times New Roman" w:hAnsi="Times New Roman" w:cs="Times New Roman"/>
          <w:iCs/>
          <w:sz w:val="24"/>
          <w:szCs w:val="24"/>
        </w:rPr>
        <w:t>.</w:t>
      </w:r>
      <w:r w:rsidR="008F4F89" w:rsidRPr="002C2ADC">
        <w:rPr>
          <w:rFonts w:ascii="Times New Roman" w:hAnsi="Times New Roman" w:cs="Times New Roman"/>
          <w:iCs/>
          <w:sz w:val="24"/>
          <w:szCs w:val="24"/>
        </w:rPr>
        <w:t xml:space="preserve">  </w:t>
      </w:r>
      <w:r w:rsidR="00536100" w:rsidRPr="002C2ADC">
        <w:rPr>
          <w:rFonts w:ascii="Times New Roman" w:hAnsi="Times New Roman" w:cs="Times New Roman"/>
          <w:iCs/>
          <w:sz w:val="24"/>
          <w:szCs w:val="24"/>
        </w:rPr>
        <w:t>A</w:t>
      </w:r>
      <w:r w:rsidR="00504A19" w:rsidRPr="002C2ADC">
        <w:rPr>
          <w:rFonts w:ascii="Times New Roman" w:hAnsi="Times New Roman" w:cs="Times New Roman"/>
          <w:iCs/>
          <w:sz w:val="24"/>
          <w:szCs w:val="24"/>
        </w:rPr>
        <w:t>ppropriations</w:t>
      </w:r>
      <w:r w:rsidR="00504A19" w:rsidRPr="00536100">
        <w:rPr>
          <w:rFonts w:ascii="Times New Roman" w:hAnsi="Times New Roman" w:cs="Times New Roman"/>
          <w:iCs/>
          <w:sz w:val="24"/>
          <w:szCs w:val="24"/>
        </w:rPr>
        <w:t xml:space="preserve"> carried forward from the prior year (“carryforwards”) </w:t>
      </w:r>
      <w:r w:rsidR="00536100" w:rsidRPr="00536100">
        <w:rPr>
          <w:rFonts w:ascii="Times New Roman" w:hAnsi="Times New Roman" w:cs="Times New Roman"/>
          <w:iCs/>
          <w:sz w:val="24"/>
          <w:szCs w:val="24"/>
        </w:rPr>
        <w:t>are</w:t>
      </w:r>
      <w:r w:rsidR="00536100">
        <w:rPr>
          <w:rFonts w:ascii="Times New Roman" w:hAnsi="Times New Roman" w:cs="Times New Roman"/>
          <w:iCs/>
          <w:sz w:val="24"/>
          <w:szCs w:val="24"/>
        </w:rPr>
        <w:t xml:space="preserve"> </w:t>
      </w:r>
      <w:r w:rsidR="00536100" w:rsidRPr="00536100">
        <w:rPr>
          <w:rFonts w:ascii="Times New Roman" w:hAnsi="Times New Roman" w:cs="Times New Roman"/>
          <w:iCs/>
          <w:sz w:val="24"/>
          <w:szCs w:val="24"/>
        </w:rPr>
        <w:t xml:space="preserve">subtracted </w:t>
      </w:r>
      <w:r w:rsidR="00504A19" w:rsidRPr="00536100">
        <w:rPr>
          <w:rFonts w:ascii="Times New Roman" w:hAnsi="Times New Roman" w:cs="Times New Roman"/>
          <w:iCs/>
          <w:sz w:val="24"/>
          <w:szCs w:val="24"/>
        </w:rPr>
        <w:t xml:space="preserve">from the carryover balance </w:t>
      </w:r>
      <w:r w:rsidR="00536100" w:rsidRPr="00536100">
        <w:rPr>
          <w:rFonts w:ascii="Times New Roman" w:hAnsi="Times New Roman" w:cs="Times New Roman"/>
          <w:iCs/>
          <w:sz w:val="24"/>
          <w:szCs w:val="24"/>
        </w:rPr>
        <w:t xml:space="preserve">because those amounts, </w:t>
      </w:r>
      <w:r w:rsidR="008F4F89" w:rsidRPr="00536100">
        <w:rPr>
          <w:rFonts w:ascii="Times New Roman" w:hAnsi="Times New Roman" w:cs="Times New Roman"/>
          <w:iCs/>
          <w:sz w:val="24"/>
          <w:szCs w:val="24"/>
        </w:rPr>
        <w:t>while unspent, are obligated for s</w:t>
      </w:r>
      <w:r w:rsidR="008F4F89">
        <w:rPr>
          <w:rFonts w:ascii="Times New Roman" w:hAnsi="Times New Roman" w:cs="Times New Roman"/>
          <w:iCs/>
          <w:sz w:val="24"/>
          <w:szCs w:val="24"/>
        </w:rPr>
        <w:t xml:space="preserve">pecific purposes and are not free to </w:t>
      </w:r>
      <w:r w:rsidR="00536100">
        <w:rPr>
          <w:rFonts w:ascii="Times New Roman" w:hAnsi="Times New Roman" w:cs="Times New Roman"/>
          <w:iCs/>
          <w:sz w:val="24"/>
          <w:szCs w:val="24"/>
        </w:rPr>
        <w:t xml:space="preserve">be </w:t>
      </w:r>
      <w:r w:rsidR="008F4F89">
        <w:rPr>
          <w:rFonts w:ascii="Times New Roman" w:hAnsi="Times New Roman" w:cs="Times New Roman"/>
          <w:iCs/>
          <w:sz w:val="24"/>
          <w:szCs w:val="24"/>
        </w:rPr>
        <w:t>allocated for others</w:t>
      </w:r>
      <w:r w:rsidR="00536100">
        <w:rPr>
          <w:rFonts w:ascii="Times New Roman" w:hAnsi="Times New Roman" w:cs="Times New Roman"/>
          <w:iCs/>
          <w:sz w:val="24"/>
          <w:szCs w:val="24"/>
        </w:rPr>
        <w:t xml:space="preserve"> and, therefore, should not be included</w:t>
      </w:r>
      <w:r w:rsidR="008F4F89">
        <w:rPr>
          <w:rFonts w:ascii="Times New Roman" w:hAnsi="Times New Roman" w:cs="Times New Roman"/>
          <w:iCs/>
          <w:sz w:val="24"/>
          <w:szCs w:val="24"/>
        </w:rPr>
        <w:t>.</w:t>
      </w:r>
    </w:p>
    <w:p w14:paraId="1E204446" w14:textId="32D05ADC" w:rsidR="002D5D7D" w:rsidRDefault="002D5D7D" w:rsidP="00E130E8">
      <w:pPr>
        <w:spacing w:after="0" w:line="240" w:lineRule="auto"/>
        <w:jc w:val="both"/>
        <w:rPr>
          <w:rFonts w:ascii="Times New Roman" w:hAnsi="Times New Roman" w:cs="Times New Roman"/>
          <w:iCs/>
          <w:sz w:val="24"/>
          <w:szCs w:val="24"/>
        </w:rPr>
      </w:pPr>
    </w:p>
    <w:p w14:paraId="38945DA3" w14:textId="387BE38A" w:rsidR="00C54572" w:rsidRDefault="00115D2C"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Previously, the </w:t>
      </w:r>
      <w:r w:rsidR="00342781">
        <w:rPr>
          <w:rFonts w:ascii="Times New Roman" w:hAnsi="Times New Roman" w:cs="Times New Roman"/>
          <w:iCs/>
          <w:sz w:val="24"/>
          <w:szCs w:val="24"/>
        </w:rPr>
        <w:t>spendable fund</w:t>
      </w:r>
      <w:r>
        <w:rPr>
          <w:rFonts w:ascii="Times New Roman" w:hAnsi="Times New Roman" w:cs="Times New Roman"/>
          <w:iCs/>
          <w:sz w:val="24"/>
          <w:szCs w:val="24"/>
        </w:rPr>
        <w:t xml:space="preserve"> balance</w:t>
      </w:r>
      <w:r w:rsidR="008F4F89">
        <w:rPr>
          <w:rFonts w:ascii="Times New Roman" w:hAnsi="Times New Roman" w:cs="Times New Roman"/>
          <w:iCs/>
          <w:sz w:val="24"/>
          <w:szCs w:val="24"/>
        </w:rPr>
        <w:t xml:space="preserve"> </w:t>
      </w:r>
      <w:r>
        <w:rPr>
          <w:rFonts w:ascii="Times New Roman" w:hAnsi="Times New Roman" w:cs="Times New Roman"/>
          <w:iCs/>
          <w:sz w:val="24"/>
          <w:szCs w:val="24"/>
        </w:rPr>
        <w:t xml:space="preserve">was calculated </w:t>
      </w:r>
      <w:r w:rsidR="00504099">
        <w:rPr>
          <w:rFonts w:ascii="Times New Roman" w:hAnsi="Times New Roman" w:cs="Times New Roman"/>
          <w:iCs/>
          <w:sz w:val="24"/>
          <w:szCs w:val="24"/>
        </w:rPr>
        <w:t xml:space="preserve">by </w:t>
      </w:r>
      <w:r w:rsidR="00C54572">
        <w:rPr>
          <w:rFonts w:ascii="Times New Roman" w:hAnsi="Times New Roman" w:cs="Times New Roman"/>
          <w:iCs/>
          <w:sz w:val="24"/>
          <w:szCs w:val="24"/>
        </w:rPr>
        <w:t>adding:</w:t>
      </w:r>
    </w:p>
    <w:p w14:paraId="40F16B04" w14:textId="31B4FDAE" w:rsidR="00C54572" w:rsidRPr="00C0788B" w:rsidRDefault="00C54572" w:rsidP="00C0788B">
      <w:pPr>
        <w:pStyle w:val="ListParagraph"/>
        <w:numPr>
          <w:ilvl w:val="0"/>
          <w:numId w:val="1"/>
        </w:numPr>
        <w:spacing w:after="0" w:line="240" w:lineRule="auto"/>
        <w:jc w:val="both"/>
        <w:rPr>
          <w:rFonts w:ascii="Times New Roman" w:hAnsi="Times New Roman" w:cs="Times New Roman"/>
          <w:iCs/>
          <w:sz w:val="24"/>
          <w:szCs w:val="24"/>
        </w:rPr>
      </w:pPr>
      <w:r w:rsidRPr="00C0788B">
        <w:rPr>
          <w:rFonts w:ascii="Times New Roman" w:hAnsi="Times New Roman" w:cs="Times New Roman"/>
          <w:iCs/>
          <w:sz w:val="24"/>
          <w:szCs w:val="24"/>
        </w:rPr>
        <w:t xml:space="preserve">beginning unreserved cash balance </w:t>
      </w:r>
      <w:r w:rsidR="00074449">
        <w:rPr>
          <w:rFonts w:ascii="Times New Roman" w:hAnsi="Times New Roman" w:cs="Times New Roman"/>
          <w:iCs/>
          <w:sz w:val="24"/>
          <w:szCs w:val="24"/>
        </w:rPr>
        <w:t>for</w:t>
      </w:r>
      <w:r w:rsidRPr="00C0788B">
        <w:rPr>
          <w:rFonts w:ascii="Times New Roman" w:hAnsi="Times New Roman" w:cs="Times New Roman"/>
          <w:iCs/>
          <w:sz w:val="24"/>
          <w:szCs w:val="24"/>
        </w:rPr>
        <w:t xml:space="preserve"> the prior fiscal year;</w:t>
      </w:r>
    </w:p>
    <w:p w14:paraId="3E201460" w14:textId="12431B4E" w:rsidR="00C54572" w:rsidRPr="00C0788B" w:rsidRDefault="00C54572" w:rsidP="00C0788B">
      <w:pPr>
        <w:pStyle w:val="ListParagraph"/>
        <w:numPr>
          <w:ilvl w:val="0"/>
          <w:numId w:val="1"/>
        </w:numPr>
        <w:spacing w:after="0" w:line="240" w:lineRule="auto"/>
        <w:jc w:val="both"/>
        <w:rPr>
          <w:rFonts w:ascii="Times New Roman" w:hAnsi="Times New Roman" w:cs="Times New Roman"/>
          <w:iCs/>
          <w:sz w:val="24"/>
          <w:szCs w:val="24"/>
        </w:rPr>
      </w:pPr>
      <w:r w:rsidRPr="00C0788B">
        <w:rPr>
          <w:rFonts w:ascii="Times New Roman" w:hAnsi="Times New Roman" w:cs="Times New Roman"/>
          <w:iCs/>
          <w:sz w:val="24"/>
          <w:szCs w:val="24"/>
        </w:rPr>
        <w:t>revenues received (positive amount) and expen</w:t>
      </w:r>
      <w:r w:rsidR="00074449">
        <w:rPr>
          <w:rFonts w:ascii="Times New Roman" w:hAnsi="Times New Roman" w:cs="Times New Roman"/>
          <w:iCs/>
          <w:sz w:val="24"/>
          <w:szCs w:val="24"/>
        </w:rPr>
        <w:t>s</w:t>
      </w:r>
      <w:r w:rsidRPr="00C0788B">
        <w:rPr>
          <w:rFonts w:ascii="Times New Roman" w:hAnsi="Times New Roman" w:cs="Times New Roman"/>
          <w:iCs/>
          <w:sz w:val="24"/>
          <w:szCs w:val="24"/>
        </w:rPr>
        <w:t xml:space="preserve">es </w:t>
      </w:r>
      <w:r w:rsidR="00074449">
        <w:rPr>
          <w:rFonts w:ascii="Times New Roman" w:hAnsi="Times New Roman" w:cs="Times New Roman"/>
          <w:iCs/>
          <w:sz w:val="24"/>
          <w:szCs w:val="24"/>
        </w:rPr>
        <w:t xml:space="preserve">paid </w:t>
      </w:r>
      <w:r w:rsidRPr="00C0788B">
        <w:rPr>
          <w:rFonts w:ascii="Times New Roman" w:hAnsi="Times New Roman" w:cs="Times New Roman"/>
          <w:iCs/>
          <w:sz w:val="24"/>
          <w:szCs w:val="24"/>
        </w:rPr>
        <w:t xml:space="preserve">(negative amount) </w:t>
      </w:r>
      <w:r w:rsidR="007F565C">
        <w:rPr>
          <w:rFonts w:ascii="Times New Roman" w:hAnsi="Times New Roman" w:cs="Times New Roman"/>
          <w:iCs/>
          <w:sz w:val="24"/>
          <w:szCs w:val="24"/>
        </w:rPr>
        <w:t>during</w:t>
      </w:r>
      <w:r w:rsidRPr="00C0788B">
        <w:rPr>
          <w:rFonts w:ascii="Times New Roman" w:hAnsi="Times New Roman" w:cs="Times New Roman"/>
          <w:iCs/>
          <w:sz w:val="24"/>
          <w:szCs w:val="24"/>
        </w:rPr>
        <w:t xml:space="preserve"> the previous July 1</w:t>
      </w:r>
      <w:r w:rsidRPr="00C0788B">
        <w:rPr>
          <w:rFonts w:ascii="Times New Roman" w:hAnsi="Times New Roman" w:cs="Times New Roman"/>
          <w:iCs/>
          <w:sz w:val="24"/>
          <w:szCs w:val="24"/>
          <w:vertAlign w:val="superscript"/>
        </w:rPr>
        <w:t>st</w:t>
      </w:r>
      <w:r w:rsidRPr="00C0788B">
        <w:rPr>
          <w:rFonts w:ascii="Times New Roman" w:hAnsi="Times New Roman" w:cs="Times New Roman"/>
          <w:iCs/>
          <w:sz w:val="24"/>
          <w:szCs w:val="24"/>
        </w:rPr>
        <w:t xml:space="preserve"> through June 30</w:t>
      </w:r>
      <w:r w:rsidRPr="00C0788B">
        <w:rPr>
          <w:rFonts w:ascii="Times New Roman" w:hAnsi="Times New Roman" w:cs="Times New Roman"/>
          <w:iCs/>
          <w:sz w:val="24"/>
          <w:szCs w:val="24"/>
          <w:vertAlign w:val="superscript"/>
        </w:rPr>
        <w:t>th</w:t>
      </w:r>
      <w:r w:rsidRPr="00C0788B">
        <w:rPr>
          <w:rFonts w:ascii="Times New Roman" w:hAnsi="Times New Roman" w:cs="Times New Roman"/>
          <w:iCs/>
          <w:sz w:val="24"/>
          <w:szCs w:val="24"/>
        </w:rPr>
        <w:t xml:space="preserve"> period;</w:t>
      </w:r>
      <w:r w:rsidR="00C0788B" w:rsidRPr="00C0788B">
        <w:rPr>
          <w:rFonts w:ascii="Times New Roman" w:hAnsi="Times New Roman" w:cs="Times New Roman"/>
          <w:iCs/>
          <w:sz w:val="24"/>
          <w:szCs w:val="24"/>
        </w:rPr>
        <w:t xml:space="preserve"> and</w:t>
      </w:r>
    </w:p>
    <w:p w14:paraId="63559F01" w14:textId="21921704" w:rsidR="00C54572" w:rsidRPr="00C0788B" w:rsidRDefault="00C54572" w:rsidP="00C0788B">
      <w:pPr>
        <w:pStyle w:val="ListParagraph"/>
        <w:numPr>
          <w:ilvl w:val="0"/>
          <w:numId w:val="1"/>
        </w:numPr>
        <w:spacing w:after="0" w:line="240" w:lineRule="auto"/>
        <w:jc w:val="both"/>
        <w:rPr>
          <w:rFonts w:ascii="Times New Roman" w:hAnsi="Times New Roman" w:cs="Times New Roman"/>
          <w:iCs/>
          <w:sz w:val="24"/>
          <w:szCs w:val="24"/>
        </w:rPr>
      </w:pPr>
      <w:r w:rsidRPr="00C0788B">
        <w:rPr>
          <w:rFonts w:ascii="Times New Roman" w:hAnsi="Times New Roman" w:cs="Times New Roman"/>
          <w:iCs/>
          <w:sz w:val="24"/>
          <w:szCs w:val="24"/>
        </w:rPr>
        <w:t xml:space="preserve">accounts payable </w:t>
      </w:r>
      <w:r w:rsidR="00C0788B" w:rsidRPr="00C0788B">
        <w:rPr>
          <w:rFonts w:ascii="Times New Roman" w:hAnsi="Times New Roman" w:cs="Times New Roman"/>
          <w:iCs/>
          <w:sz w:val="24"/>
          <w:szCs w:val="24"/>
        </w:rPr>
        <w:t xml:space="preserve">balance (negative) </w:t>
      </w:r>
      <w:r w:rsidRPr="00C0788B">
        <w:rPr>
          <w:rFonts w:ascii="Times New Roman" w:hAnsi="Times New Roman" w:cs="Times New Roman"/>
          <w:iCs/>
          <w:sz w:val="24"/>
          <w:szCs w:val="24"/>
        </w:rPr>
        <w:t>as of June 30</w:t>
      </w:r>
      <w:r w:rsidRPr="00C0788B">
        <w:rPr>
          <w:rFonts w:ascii="Times New Roman" w:hAnsi="Times New Roman" w:cs="Times New Roman"/>
          <w:iCs/>
          <w:sz w:val="24"/>
          <w:szCs w:val="24"/>
          <w:vertAlign w:val="superscript"/>
        </w:rPr>
        <w:t>th</w:t>
      </w:r>
      <w:r w:rsidRPr="00C0788B">
        <w:rPr>
          <w:rFonts w:ascii="Times New Roman" w:hAnsi="Times New Roman" w:cs="Times New Roman"/>
          <w:iCs/>
          <w:sz w:val="24"/>
          <w:szCs w:val="24"/>
        </w:rPr>
        <w:t>;</w:t>
      </w:r>
    </w:p>
    <w:p w14:paraId="1F9094F9" w14:textId="77777777" w:rsidR="00C0788B" w:rsidRDefault="00C0788B"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then deducting:</w:t>
      </w:r>
    </w:p>
    <w:p w14:paraId="37301C9A" w14:textId="3E6F1B7B" w:rsidR="00C54572" w:rsidRPr="00C0788B" w:rsidRDefault="00C0788B" w:rsidP="00C0788B">
      <w:pPr>
        <w:pStyle w:val="ListParagraph"/>
        <w:numPr>
          <w:ilvl w:val="0"/>
          <w:numId w:val="2"/>
        </w:numPr>
        <w:spacing w:after="0" w:line="240" w:lineRule="auto"/>
        <w:jc w:val="both"/>
        <w:rPr>
          <w:rFonts w:ascii="Times New Roman" w:hAnsi="Times New Roman" w:cs="Times New Roman"/>
          <w:iCs/>
          <w:sz w:val="24"/>
          <w:szCs w:val="24"/>
        </w:rPr>
      </w:pPr>
      <w:r w:rsidRPr="00C0788B">
        <w:rPr>
          <w:rFonts w:ascii="Times New Roman" w:hAnsi="Times New Roman" w:cs="Times New Roman"/>
          <w:iCs/>
          <w:sz w:val="24"/>
          <w:szCs w:val="24"/>
        </w:rPr>
        <w:t xml:space="preserve">encumbrances </w:t>
      </w:r>
      <w:r>
        <w:rPr>
          <w:rFonts w:ascii="Times New Roman" w:hAnsi="Times New Roman" w:cs="Times New Roman"/>
          <w:iCs/>
          <w:sz w:val="24"/>
          <w:szCs w:val="24"/>
        </w:rPr>
        <w:t>(</w:t>
      </w:r>
      <w:r w:rsidR="00074449">
        <w:rPr>
          <w:rFonts w:ascii="Times New Roman" w:hAnsi="Times New Roman" w:cs="Times New Roman"/>
          <w:iCs/>
          <w:sz w:val="24"/>
          <w:szCs w:val="24"/>
        </w:rPr>
        <w:t xml:space="preserve">i.e., </w:t>
      </w:r>
      <w:r>
        <w:rPr>
          <w:rFonts w:ascii="Times New Roman" w:hAnsi="Times New Roman" w:cs="Times New Roman"/>
          <w:iCs/>
          <w:sz w:val="24"/>
          <w:szCs w:val="24"/>
        </w:rPr>
        <w:t xml:space="preserve">outstanding purchase order balances) </w:t>
      </w:r>
      <w:r w:rsidRPr="00C0788B">
        <w:rPr>
          <w:rFonts w:ascii="Times New Roman" w:hAnsi="Times New Roman" w:cs="Times New Roman"/>
          <w:iCs/>
          <w:sz w:val="24"/>
          <w:szCs w:val="24"/>
        </w:rPr>
        <w:t>as of June 30</w:t>
      </w:r>
      <w:r w:rsidRPr="00C0788B">
        <w:rPr>
          <w:rFonts w:ascii="Times New Roman" w:hAnsi="Times New Roman" w:cs="Times New Roman"/>
          <w:iCs/>
          <w:sz w:val="24"/>
          <w:szCs w:val="24"/>
          <w:vertAlign w:val="superscript"/>
        </w:rPr>
        <w:t>th</w:t>
      </w:r>
      <w:r w:rsidRPr="00C0788B">
        <w:rPr>
          <w:rFonts w:ascii="Times New Roman" w:hAnsi="Times New Roman" w:cs="Times New Roman"/>
          <w:iCs/>
          <w:sz w:val="24"/>
          <w:szCs w:val="24"/>
        </w:rPr>
        <w:t xml:space="preserve"> and</w:t>
      </w:r>
    </w:p>
    <w:p w14:paraId="01C9C70B" w14:textId="58FC2BDF" w:rsidR="00C0788B" w:rsidRDefault="00C0788B" w:rsidP="00C0788B">
      <w:pPr>
        <w:pStyle w:val="ListParagraph"/>
        <w:numPr>
          <w:ilvl w:val="0"/>
          <w:numId w:val="2"/>
        </w:numPr>
        <w:spacing w:after="0" w:line="240" w:lineRule="auto"/>
        <w:jc w:val="both"/>
        <w:rPr>
          <w:rFonts w:ascii="Times New Roman" w:hAnsi="Times New Roman" w:cs="Times New Roman"/>
          <w:iCs/>
          <w:sz w:val="24"/>
          <w:szCs w:val="24"/>
        </w:rPr>
      </w:pPr>
      <w:r w:rsidRPr="00C0788B">
        <w:rPr>
          <w:rFonts w:ascii="Times New Roman" w:hAnsi="Times New Roman" w:cs="Times New Roman"/>
          <w:iCs/>
          <w:sz w:val="24"/>
          <w:szCs w:val="24"/>
        </w:rPr>
        <w:t xml:space="preserve">Capital Improvement Program (“CIP”) appropriations carried forward from the prior </w:t>
      </w:r>
      <w:r>
        <w:rPr>
          <w:rFonts w:ascii="Times New Roman" w:hAnsi="Times New Roman" w:cs="Times New Roman"/>
          <w:iCs/>
          <w:sz w:val="24"/>
          <w:szCs w:val="24"/>
        </w:rPr>
        <w:t xml:space="preserve">fiscal </w:t>
      </w:r>
      <w:r w:rsidRPr="00C0788B">
        <w:rPr>
          <w:rFonts w:ascii="Times New Roman" w:hAnsi="Times New Roman" w:cs="Times New Roman"/>
          <w:iCs/>
          <w:sz w:val="24"/>
          <w:szCs w:val="24"/>
        </w:rPr>
        <w:t xml:space="preserve">year to the current </w:t>
      </w:r>
      <w:r>
        <w:rPr>
          <w:rFonts w:ascii="Times New Roman" w:hAnsi="Times New Roman" w:cs="Times New Roman"/>
          <w:iCs/>
          <w:sz w:val="24"/>
          <w:szCs w:val="24"/>
        </w:rPr>
        <w:t xml:space="preserve">fiscal </w:t>
      </w:r>
      <w:r w:rsidRPr="00C0788B">
        <w:rPr>
          <w:rFonts w:ascii="Times New Roman" w:hAnsi="Times New Roman" w:cs="Times New Roman"/>
          <w:iCs/>
          <w:sz w:val="24"/>
          <w:szCs w:val="24"/>
        </w:rPr>
        <w:t>year</w:t>
      </w:r>
      <w:r>
        <w:rPr>
          <w:rFonts w:ascii="Times New Roman" w:hAnsi="Times New Roman" w:cs="Times New Roman"/>
          <w:iCs/>
          <w:sz w:val="24"/>
          <w:szCs w:val="24"/>
        </w:rPr>
        <w:t>.</w:t>
      </w:r>
    </w:p>
    <w:p w14:paraId="5D2C01D2" w14:textId="77777777" w:rsidR="00067B45" w:rsidRPr="00C0788B" w:rsidRDefault="00067B45" w:rsidP="00067B45">
      <w:pPr>
        <w:pStyle w:val="ListParagraph"/>
        <w:spacing w:after="0" w:line="240" w:lineRule="auto"/>
        <w:jc w:val="both"/>
        <w:rPr>
          <w:rFonts w:ascii="Times New Roman" w:hAnsi="Times New Roman" w:cs="Times New Roman"/>
          <w:iCs/>
          <w:sz w:val="24"/>
          <w:szCs w:val="24"/>
        </w:rPr>
      </w:pPr>
    </w:p>
    <w:p w14:paraId="7039D0F3" w14:textId="7138D902" w:rsidR="007F565C" w:rsidRDefault="00074449"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Because only r</w:t>
      </w:r>
      <w:r w:rsidR="00C0788B">
        <w:rPr>
          <w:rFonts w:ascii="Times New Roman" w:hAnsi="Times New Roman" w:cs="Times New Roman"/>
          <w:iCs/>
          <w:sz w:val="24"/>
          <w:szCs w:val="24"/>
        </w:rPr>
        <w:t xml:space="preserve">evenues </w:t>
      </w:r>
      <w:r>
        <w:rPr>
          <w:rFonts w:ascii="Times New Roman" w:hAnsi="Times New Roman" w:cs="Times New Roman"/>
          <w:iCs/>
          <w:sz w:val="24"/>
          <w:szCs w:val="24"/>
        </w:rPr>
        <w:t xml:space="preserve">received </w:t>
      </w:r>
      <w:r w:rsidRPr="00145852">
        <w:rPr>
          <w:rFonts w:ascii="Times New Roman" w:hAnsi="Times New Roman" w:cs="Times New Roman"/>
          <w:i/>
          <w:sz w:val="24"/>
          <w:szCs w:val="24"/>
        </w:rPr>
        <w:t>during</w:t>
      </w:r>
      <w:r>
        <w:rPr>
          <w:rFonts w:ascii="Times New Roman" w:hAnsi="Times New Roman" w:cs="Times New Roman"/>
          <w:iCs/>
          <w:sz w:val="24"/>
          <w:szCs w:val="24"/>
        </w:rPr>
        <w:t xml:space="preserve"> the prior fiscal year, July 1</w:t>
      </w:r>
      <w:r w:rsidRPr="00074449">
        <w:rPr>
          <w:rFonts w:ascii="Times New Roman" w:hAnsi="Times New Roman" w:cs="Times New Roman"/>
          <w:iCs/>
          <w:sz w:val="24"/>
          <w:szCs w:val="24"/>
          <w:vertAlign w:val="superscript"/>
        </w:rPr>
        <w:t>st</w:t>
      </w:r>
      <w:r>
        <w:rPr>
          <w:rFonts w:ascii="Times New Roman" w:hAnsi="Times New Roman" w:cs="Times New Roman"/>
          <w:iCs/>
          <w:sz w:val="24"/>
          <w:szCs w:val="24"/>
        </w:rPr>
        <w:t xml:space="preserve"> through June 30</w:t>
      </w:r>
      <w:r w:rsidRPr="00074449">
        <w:rPr>
          <w:rFonts w:ascii="Times New Roman" w:hAnsi="Times New Roman" w:cs="Times New Roman"/>
          <w:iCs/>
          <w:sz w:val="24"/>
          <w:szCs w:val="24"/>
          <w:vertAlign w:val="superscript"/>
        </w:rPr>
        <w:t>th</w:t>
      </w:r>
      <w:r>
        <w:rPr>
          <w:rFonts w:ascii="Times New Roman" w:hAnsi="Times New Roman" w:cs="Times New Roman"/>
          <w:iCs/>
          <w:sz w:val="24"/>
          <w:szCs w:val="24"/>
        </w:rPr>
        <w:t xml:space="preserve">, were included, </w:t>
      </w:r>
      <w:r w:rsidR="00505ADC">
        <w:rPr>
          <w:rFonts w:ascii="Times New Roman" w:hAnsi="Times New Roman" w:cs="Times New Roman"/>
          <w:iCs/>
          <w:sz w:val="24"/>
          <w:szCs w:val="24"/>
        </w:rPr>
        <w:t xml:space="preserve">accrued revenues – </w:t>
      </w:r>
      <w:r>
        <w:rPr>
          <w:rFonts w:ascii="Times New Roman" w:hAnsi="Times New Roman" w:cs="Times New Roman"/>
          <w:iCs/>
          <w:sz w:val="24"/>
          <w:szCs w:val="24"/>
        </w:rPr>
        <w:t>revenues</w:t>
      </w:r>
      <w:r w:rsidR="00505ADC">
        <w:rPr>
          <w:rFonts w:ascii="Times New Roman" w:hAnsi="Times New Roman" w:cs="Times New Roman"/>
          <w:iCs/>
          <w:sz w:val="24"/>
          <w:szCs w:val="24"/>
        </w:rPr>
        <w:t xml:space="preserve"> </w:t>
      </w:r>
      <w:r>
        <w:rPr>
          <w:rFonts w:ascii="Times New Roman" w:hAnsi="Times New Roman" w:cs="Times New Roman"/>
          <w:iCs/>
          <w:sz w:val="24"/>
          <w:szCs w:val="24"/>
        </w:rPr>
        <w:t>received after June 30</w:t>
      </w:r>
      <w:r w:rsidRPr="00074449">
        <w:rPr>
          <w:rFonts w:ascii="Times New Roman" w:hAnsi="Times New Roman" w:cs="Times New Roman"/>
          <w:iCs/>
          <w:sz w:val="24"/>
          <w:szCs w:val="24"/>
          <w:vertAlign w:val="superscript"/>
        </w:rPr>
        <w:t>th</w:t>
      </w:r>
      <w:r>
        <w:rPr>
          <w:rFonts w:ascii="Times New Roman" w:hAnsi="Times New Roman" w:cs="Times New Roman"/>
          <w:iCs/>
          <w:sz w:val="24"/>
          <w:szCs w:val="24"/>
        </w:rPr>
        <w:t xml:space="preserve"> </w:t>
      </w:r>
      <w:r w:rsidR="007C44D0">
        <w:rPr>
          <w:rFonts w:ascii="Times New Roman" w:hAnsi="Times New Roman" w:cs="Times New Roman"/>
          <w:iCs/>
          <w:sz w:val="24"/>
          <w:szCs w:val="24"/>
        </w:rPr>
        <w:t xml:space="preserve">but </w:t>
      </w:r>
      <w:r w:rsidRPr="007C44D0">
        <w:rPr>
          <w:rFonts w:ascii="Times New Roman" w:hAnsi="Times New Roman" w:cs="Times New Roman"/>
          <w:iCs/>
          <w:sz w:val="24"/>
          <w:szCs w:val="24"/>
        </w:rPr>
        <w:t xml:space="preserve">attributable </w:t>
      </w:r>
      <w:r w:rsidRPr="00145852">
        <w:rPr>
          <w:rFonts w:ascii="Times New Roman" w:hAnsi="Times New Roman" w:cs="Times New Roman"/>
          <w:i/>
          <w:sz w:val="24"/>
          <w:szCs w:val="24"/>
        </w:rPr>
        <w:t>to</w:t>
      </w:r>
      <w:r w:rsidRPr="007C44D0">
        <w:rPr>
          <w:rFonts w:ascii="Times New Roman" w:hAnsi="Times New Roman" w:cs="Times New Roman"/>
          <w:iCs/>
          <w:sz w:val="24"/>
          <w:szCs w:val="24"/>
        </w:rPr>
        <w:t xml:space="preserve"> </w:t>
      </w:r>
      <w:r w:rsidR="00521E4D" w:rsidRPr="00AC1D36">
        <w:rPr>
          <w:rFonts w:ascii="Times New Roman" w:hAnsi="Times New Roman" w:cs="Times New Roman"/>
          <w:iCs/>
          <w:sz w:val="24"/>
          <w:szCs w:val="24"/>
        </w:rPr>
        <w:t>the</w:t>
      </w:r>
      <w:r w:rsidR="00C0788B">
        <w:rPr>
          <w:rFonts w:ascii="Times New Roman" w:hAnsi="Times New Roman" w:cs="Times New Roman"/>
          <w:iCs/>
          <w:sz w:val="24"/>
          <w:szCs w:val="24"/>
        </w:rPr>
        <w:t xml:space="preserve"> prior fiscal year </w:t>
      </w:r>
      <w:r w:rsidR="00505ADC">
        <w:rPr>
          <w:rFonts w:ascii="Times New Roman" w:hAnsi="Times New Roman" w:cs="Times New Roman"/>
          <w:iCs/>
          <w:sz w:val="24"/>
          <w:szCs w:val="24"/>
        </w:rPr>
        <w:t>–</w:t>
      </w:r>
      <w:r w:rsidR="00C0788B">
        <w:rPr>
          <w:rFonts w:ascii="Times New Roman" w:hAnsi="Times New Roman" w:cs="Times New Roman"/>
          <w:iCs/>
          <w:sz w:val="24"/>
          <w:szCs w:val="24"/>
        </w:rPr>
        <w:t xml:space="preserve"> were</w:t>
      </w:r>
      <w:r w:rsidR="00505ADC">
        <w:rPr>
          <w:rFonts w:ascii="Times New Roman" w:hAnsi="Times New Roman" w:cs="Times New Roman"/>
          <w:iCs/>
          <w:sz w:val="24"/>
          <w:szCs w:val="24"/>
        </w:rPr>
        <w:t xml:space="preserve"> ex</w:t>
      </w:r>
      <w:r w:rsidR="00C0788B">
        <w:rPr>
          <w:rFonts w:ascii="Times New Roman" w:hAnsi="Times New Roman" w:cs="Times New Roman"/>
          <w:iCs/>
          <w:sz w:val="24"/>
          <w:szCs w:val="24"/>
        </w:rPr>
        <w:t xml:space="preserve">cluded </w:t>
      </w:r>
      <w:r w:rsidR="00505ADC">
        <w:rPr>
          <w:rFonts w:ascii="Times New Roman" w:hAnsi="Times New Roman" w:cs="Times New Roman"/>
          <w:iCs/>
          <w:sz w:val="24"/>
          <w:szCs w:val="24"/>
        </w:rPr>
        <w:t>from previous spendable fund balance</w:t>
      </w:r>
      <w:r w:rsidR="00C0788B">
        <w:rPr>
          <w:rFonts w:ascii="Times New Roman" w:hAnsi="Times New Roman" w:cs="Times New Roman"/>
          <w:iCs/>
          <w:sz w:val="24"/>
          <w:szCs w:val="24"/>
        </w:rPr>
        <w:t xml:space="preserve"> </w:t>
      </w:r>
      <w:r w:rsidR="00AC1D36">
        <w:rPr>
          <w:rFonts w:ascii="Times New Roman" w:hAnsi="Times New Roman" w:cs="Times New Roman"/>
          <w:iCs/>
          <w:sz w:val="24"/>
          <w:szCs w:val="24"/>
        </w:rPr>
        <w:t>calculations</w:t>
      </w:r>
      <w:r w:rsidR="007C44D0">
        <w:rPr>
          <w:rFonts w:ascii="Times New Roman" w:hAnsi="Times New Roman" w:cs="Times New Roman"/>
          <w:iCs/>
          <w:sz w:val="24"/>
          <w:szCs w:val="24"/>
        </w:rPr>
        <w:t xml:space="preserve">.  </w:t>
      </w:r>
      <w:r w:rsidR="00145620">
        <w:rPr>
          <w:rFonts w:ascii="Times New Roman" w:hAnsi="Times New Roman" w:cs="Times New Roman"/>
          <w:iCs/>
          <w:sz w:val="24"/>
          <w:szCs w:val="24"/>
        </w:rPr>
        <w:t xml:space="preserve">Therefore, the totals did not include the accrued revenues for the fiscal year </w:t>
      </w:r>
      <w:r w:rsidR="00145620" w:rsidRPr="00AC1D36">
        <w:rPr>
          <w:rFonts w:ascii="Times New Roman" w:hAnsi="Times New Roman" w:cs="Times New Roman"/>
          <w:i/>
          <w:sz w:val="24"/>
          <w:szCs w:val="24"/>
        </w:rPr>
        <w:t>immediately preceding</w:t>
      </w:r>
      <w:r w:rsidR="00145620">
        <w:rPr>
          <w:rFonts w:ascii="Times New Roman" w:hAnsi="Times New Roman" w:cs="Times New Roman"/>
          <w:iCs/>
          <w:sz w:val="24"/>
          <w:szCs w:val="24"/>
        </w:rPr>
        <w:t xml:space="preserve"> the </w:t>
      </w:r>
      <w:r w:rsidR="00145620" w:rsidRPr="00A85BF9">
        <w:rPr>
          <w:rFonts w:ascii="Times New Roman" w:hAnsi="Times New Roman" w:cs="Times New Roman"/>
          <w:iCs/>
          <w:sz w:val="24"/>
          <w:szCs w:val="24"/>
        </w:rPr>
        <w:t>then-current fiscal</w:t>
      </w:r>
      <w:r w:rsidR="00145620">
        <w:rPr>
          <w:rFonts w:ascii="Times New Roman" w:hAnsi="Times New Roman" w:cs="Times New Roman"/>
          <w:iCs/>
          <w:sz w:val="24"/>
          <w:szCs w:val="24"/>
        </w:rPr>
        <w:t xml:space="preserve"> year.  Instead, they included </w:t>
      </w:r>
      <w:r w:rsidR="00145620" w:rsidRPr="00A85BF9">
        <w:rPr>
          <w:rFonts w:ascii="Times New Roman" w:hAnsi="Times New Roman" w:cs="Times New Roman"/>
          <w:iCs/>
          <w:sz w:val="24"/>
          <w:szCs w:val="24"/>
        </w:rPr>
        <w:t>the accrued revenues f</w:t>
      </w:r>
      <w:r w:rsidR="00145620">
        <w:rPr>
          <w:rFonts w:ascii="Times New Roman" w:hAnsi="Times New Roman" w:cs="Times New Roman"/>
          <w:iCs/>
          <w:sz w:val="24"/>
          <w:szCs w:val="24"/>
        </w:rPr>
        <w:t xml:space="preserve">or </w:t>
      </w:r>
      <w:r w:rsidR="00145620" w:rsidRPr="00145852">
        <w:rPr>
          <w:rFonts w:ascii="Times New Roman" w:hAnsi="Times New Roman" w:cs="Times New Roman"/>
          <w:iCs/>
          <w:sz w:val="24"/>
          <w:szCs w:val="24"/>
        </w:rPr>
        <w:t xml:space="preserve">the fiscal year </w:t>
      </w:r>
      <w:r w:rsidR="00145620" w:rsidRPr="00145852">
        <w:rPr>
          <w:rFonts w:ascii="Times New Roman" w:hAnsi="Times New Roman" w:cs="Times New Roman"/>
          <w:i/>
          <w:sz w:val="24"/>
          <w:szCs w:val="24"/>
        </w:rPr>
        <w:t>two years prior</w:t>
      </w:r>
      <w:r w:rsidR="00145620" w:rsidRPr="00145852">
        <w:rPr>
          <w:rFonts w:ascii="Times New Roman" w:hAnsi="Times New Roman" w:cs="Times New Roman"/>
          <w:iCs/>
          <w:sz w:val="24"/>
          <w:szCs w:val="24"/>
        </w:rPr>
        <w:t xml:space="preserve"> (to the then</w:t>
      </w:r>
      <w:r w:rsidR="00145620">
        <w:rPr>
          <w:rFonts w:ascii="Times New Roman" w:hAnsi="Times New Roman" w:cs="Times New Roman"/>
          <w:iCs/>
          <w:sz w:val="24"/>
          <w:szCs w:val="24"/>
        </w:rPr>
        <w:t>-</w:t>
      </w:r>
      <w:r w:rsidR="00145620" w:rsidRPr="004C7999">
        <w:rPr>
          <w:rFonts w:ascii="Times New Roman" w:hAnsi="Times New Roman" w:cs="Times New Roman"/>
          <w:iCs/>
          <w:sz w:val="24"/>
          <w:szCs w:val="24"/>
        </w:rPr>
        <w:t>current fiscal year)</w:t>
      </w:r>
      <w:r w:rsidR="00145620">
        <w:rPr>
          <w:rFonts w:ascii="Times New Roman" w:hAnsi="Times New Roman" w:cs="Times New Roman"/>
          <w:iCs/>
          <w:sz w:val="24"/>
          <w:szCs w:val="24"/>
        </w:rPr>
        <w:t xml:space="preserve">, essentially a one-year delay.  Conversely, accrued expenditures (i.e., those attributable to the </w:t>
      </w:r>
      <w:r w:rsidR="00387F5D">
        <w:rPr>
          <w:rFonts w:ascii="Times New Roman" w:hAnsi="Times New Roman" w:cs="Times New Roman"/>
          <w:iCs/>
          <w:sz w:val="24"/>
          <w:szCs w:val="24"/>
        </w:rPr>
        <w:t xml:space="preserve">immediately </w:t>
      </w:r>
      <w:r w:rsidR="00145620">
        <w:rPr>
          <w:rFonts w:ascii="Times New Roman" w:hAnsi="Times New Roman" w:cs="Times New Roman"/>
          <w:iCs/>
          <w:sz w:val="24"/>
          <w:szCs w:val="24"/>
        </w:rPr>
        <w:t xml:space="preserve">prior fiscal year) </w:t>
      </w:r>
      <w:r w:rsidR="00145620" w:rsidRPr="00181FDF">
        <w:rPr>
          <w:rFonts w:ascii="Times New Roman" w:hAnsi="Times New Roman" w:cs="Times New Roman"/>
          <w:i/>
          <w:sz w:val="24"/>
          <w:szCs w:val="24"/>
        </w:rPr>
        <w:t>were</w:t>
      </w:r>
      <w:r w:rsidR="00145620">
        <w:rPr>
          <w:rFonts w:ascii="Times New Roman" w:hAnsi="Times New Roman" w:cs="Times New Roman"/>
          <w:iCs/>
          <w:sz w:val="24"/>
          <w:szCs w:val="24"/>
        </w:rPr>
        <w:t xml:space="preserve"> included.</w:t>
      </w:r>
    </w:p>
    <w:p w14:paraId="4A4DBA43" w14:textId="77777777" w:rsidR="007F565C" w:rsidRDefault="007F565C" w:rsidP="00E130E8">
      <w:pPr>
        <w:spacing w:after="0" w:line="240" w:lineRule="auto"/>
        <w:jc w:val="both"/>
        <w:rPr>
          <w:rFonts w:ascii="Times New Roman" w:hAnsi="Times New Roman" w:cs="Times New Roman"/>
          <w:iCs/>
          <w:sz w:val="24"/>
          <w:szCs w:val="24"/>
        </w:rPr>
      </w:pPr>
    </w:p>
    <w:p w14:paraId="241AFED5" w14:textId="41D7D398" w:rsidR="00145620" w:rsidRDefault="00145620"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Since all expenditures attributable to the prior fiscal year were previously included but all revenues were not, the previous </w:t>
      </w:r>
      <w:r w:rsidR="00BB5656">
        <w:rPr>
          <w:rFonts w:ascii="Times New Roman" w:hAnsi="Times New Roman" w:cs="Times New Roman"/>
          <w:iCs/>
          <w:sz w:val="24"/>
          <w:szCs w:val="24"/>
        </w:rPr>
        <w:t xml:space="preserve">method used to calculate </w:t>
      </w:r>
      <w:r>
        <w:rPr>
          <w:rFonts w:ascii="Times New Roman" w:hAnsi="Times New Roman" w:cs="Times New Roman"/>
          <w:iCs/>
          <w:sz w:val="24"/>
          <w:szCs w:val="24"/>
        </w:rPr>
        <w:t xml:space="preserve">spendable fund balance could be considered to </w:t>
      </w:r>
      <w:r>
        <w:rPr>
          <w:rFonts w:ascii="Times New Roman" w:hAnsi="Times New Roman" w:cs="Times New Roman"/>
          <w:iCs/>
          <w:sz w:val="24"/>
          <w:szCs w:val="24"/>
        </w:rPr>
        <w:lastRenderedPageBreak/>
        <w:t xml:space="preserve">have been inconsistent.  For this reason, the calculation has been changed </w:t>
      </w:r>
      <w:r w:rsidR="00F53F50">
        <w:rPr>
          <w:rFonts w:ascii="Times New Roman" w:hAnsi="Times New Roman" w:cs="Times New Roman"/>
          <w:iCs/>
          <w:sz w:val="24"/>
          <w:szCs w:val="24"/>
        </w:rPr>
        <w:t>to</w:t>
      </w:r>
      <w:r>
        <w:rPr>
          <w:rFonts w:ascii="Times New Roman" w:hAnsi="Times New Roman" w:cs="Times New Roman"/>
          <w:iCs/>
          <w:sz w:val="24"/>
          <w:szCs w:val="24"/>
        </w:rPr>
        <w:t xml:space="preserve"> includ</w:t>
      </w:r>
      <w:r w:rsidR="00F53F50">
        <w:rPr>
          <w:rFonts w:ascii="Times New Roman" w:hAnsi="Times New Roman" w:cs="Times New Roman"/>
          <w:iCs/>
          <w:sz w:val="24"/>
          <w:szCs w:val="24"/>
        </w:rPr>
        <w:t>e</w:t>
      </w:r>
      <w:r>
        <w:rPr>
          <w:rFonts w:ascii="Times New Roman" w:hAnsi="Times New Roman" w:cs="Times New Roman"/>
          <w:iCs/>
          <w:sz w:val="24"/>
          <w:szCs w:val="24"/>
        </w:rPr>
        <w:t xml:space="preserve"> accrued revenues for the prior fiscal year.</w:t>
      </w:r>
    </w:p>
    <w:p w14:paraId="628017E0" w14:textId="77777777" w:rsidR="00145620" w:rsidRDefault="00145620" w:rsidP="00E130E8">
      <w:pPr>
        <w:spacing w:after="0" w:line="240" w:lineRule="auto"/>
        <w:jc w:val="both"/>
        <w:rPr>
          <w:rFonts w:ascii="Times New Roman" w:hAnsi="Times New Roman" w:cs="Times New Roman"/>
          <w:iCs/>
          <w:sz w:val="24"/>
          <w:szCs w:val="24"/>
        </w:rPr>
      </w:pPr>
    </w:p>
    <w:p w14:paraId="0603D1CC" w14:textId="0FDD51A7" w:rsidR="00C54572" w:rsidRDefault="00B8775A"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Because the previous (i.e., Fiscal Year 2021) calculation did not include accrued revenues for the then-prior fiscal year (Fiscal Year 2020), those revenues have been included in the current fiscal year’s total.  And since accrued revenues for the immediately prior fiscal year (Fiscal Year 2020) will also be included, the spendable fund balance presented for the current fiscal year is significantly higher than the total presented in previous years.  It is important to note the difference is not “new” money.  </w:t>
      </w:r>
      <w:r w:rsidR="00EA367E">
        <w:rPr>
          <w:rFonts w:ascii="Times New Roman" w:hAnsi="Times New Roman" w:cs="Times New Roman"/>
          <w:iCs/>
          <w:sz w:val="24"/>
          <w:szCs w:val="24"/>
        </w:rPr>
        <w:t>Instead, the apparent “spike” is a one-time occurrence resulting from the inclusion of two years’ accrued revenues.</w:t>
      </w:r>
      <w:r>
        <w:rPr>
          <w:rFonts w:ascii="Times New Roman" w:hAnsi="Times New Roman" w:cs="Times New Roman"/>
          <w:iCs/>
          <w:sz w:val="24"/>
          <w:szCs w:val="24"/>
        </w:rPr>
        <w:t xml:space="preserve">  Spendable fund balance reported for the next upcoming fiscal year will normalize, returning to an amount </w:t>
      </w:r>
      <w:proofErr w:type="gramStart"/>
      <w:r>
        <w:rPr>
          <w:rFonts w:ascii="Times New Roman" w:hAnsi="Times New Roman" w:cs="Times New Roman"/>
          <w:iCs/>
          <w:sz w:val="24"/>
          <w:szCs w:val="24"/>
        </w:rPr>
        <w:t>similar to</w:t>
      </w:r>
      <w:proofErr w:type="gramEnd"/>
      <w:r>
        <w:rPr>
          <w:rFonts w:ascii="Times New Roman" w:hAnsi="Times New Roman" w:cs="Times New Roman"/>
          <w:iCs/>
          <w:sz w:val="24"/>
          <w:szCs w:val="24"/>
        </w:rPr>
        <w:t xml:space="preserve"> those previously reported, when, again, only one year’s (</w:t>
      </w:r>
      <w:r w:rsidR="00BB5656">
        <w:rPr>
          <w:rFonts w:ascii="Times New Roman" w:hAnsi="Times New Roman" w:cs="Times New Roman"/>
          <w:iCs/>
          <w:sz w:val="24"/>
          <w:szCs w:val="24"/>
        </w:rPr>
        <w:t xml:space="preserve">i.e., </w:t>
      </w:r>
      <w:r>
        <w:rPr>
          <w:rFonts w:ascii="Times New Roman" w:hAnsi="Times New Roman" w:cs="Times New Roman"/>
          <w:iCs/>
          <w:sz w:val="24"/>
          <w:szCs w:val="24"/>
        </w:rPr>
        <w:t>the most recent</w:t>
      </w:r>
      <w:r w:rsidR="006B4069">
        <w:rPr>
          <w:rFonts w:ascii="Times New Roman" w:hAnsi="Times New Roman" w:cs="Times New Roman"/>
          <w:iCs/>
          <w:sz w:val="24"/>
          <w:szCs w:val="24"/>
        </w:rPr>
        <w:t xml:space="preserve"> year</w:t>
      </w:r>
      <w:r>
        <w:rPr>
          <w:rFonts w:ascii="Times New Roman" w:hAnsi="Times New Roman" w:cs="Times New Roman"/>
          <w:iCs/>
          <w:sz w:val="24"/>
          <w:szCs w:val="24"/>
        </w:rPr>
        <w:t xml:space="preserve">’s) accrued revenues will be included.  </w:t>
      </w:r>
      <w:r w:rsidR="00F04CB3">
        <w:rPr>
          <w:rFonts w:ascii="Times New Roman" w:hAnsi="Times New Roman" w:cs="Times New Roman"/>
          <w:iCs/>
          <w:sz w:val="24"/>
          <w:szCs w:val="24"/>
        </w:rPr>
        <w:t>T</w:t>
      </w:r>
      <w:r w:rsidR="00FA5171">
        <w:rPr>
          <w:rFonts w:ascii="Times New Roman" w:hAnsi="Times New Roman" w:cs="Times New Roman"/>
          <w:iCs/>
          <w:sz w:val="24"/>
          <w:szCs w:val="24"/>
        </w:rPr>
        <w:t xml:space="preserve">he net effect of the change </w:t>
      </w:r>
      <w:r w:rsidR="00F04CB3">
        <w:rPr>
          <w:rFonts w:ascii="Times New Roman" w:hAnsi="Times New Roman" w:cs="Times New Roman"/>
          <w:iCs/>
          <w:sz w:val="24"/>
          <w:szCs w:val="24"/>
        </w:rPr>
        <w:t xml:space="preserve">in methodology </w:t>
      </w:r>
      <w:r w:rsidR="00FA5171">
        <w:rPr>
          <w:rFonts w:ascii="Times New Roman" w:hAnsi="Times New Roman" w:cs="Times New Roman"/>
          <w:iCs/>
          <w:sz w:val="24"/>
          <w:szCs w:val="24"/>
        </w:rPr>
        <w:t xml:space="preserve">on future </w:t>
      </w:r>
      <w:r w:rsidR="00EA344E">
        <w:rPr>
          <w:rFonts w:ascii="Times New Roman" w:hAnsi="Times New Roman" w:cs="Times New Roman"/>
          <w:iCs/>
          <w:sz w:val="24"/>
          <w:szCs w:val="24"/>
        </w:rPr>
        <w:t xml:space="preserve">calculations of </w:t>
      </w:r>
      <w:r w:rsidR="00FA5171">
        <w:rPr>
          <w:rFonts w:ascii="Times New Roman" w:hAnsi="Times New Roman" w:cs="Times New Roman"/>
          <w:iCs/>
          <w:sz w:val="24"/>
          <w:szCs w:val="24"/>
        </w:rPr>
        <w:t xml:space="preserve">spendable fund balance is not </w:t>
      </w:r>
      <w:r w:rsidR="00FA5171" w:rsidRPr="00B95FA2">
        <w:rPr>
          <w:rFonts w:ascii="Times New Roman" w:hAnsi="Times New Roman" w:cs="Times New Roman"/>
          <w:iCs/>
          <w:sz w:val="24"/>
          <w:szCs w:val="24"/>
        </w:rPr>
        <w:t xml:space="preserve">expected to be significant since expenditures rarely </w:t>
      </w:r>
      <w:r w:rsidR="00EA344E" w:rsidRPr="00B95FA2">
        <w:rPr>
          <w:rFonts w:ascii="Times New Roman" w:hAnsi="Times New Roman" w:cs="Times New Roman"/>
          <w:iCs/>
          <w:sz w:val="24"/>
          <w:szCs w:val="24"/>
        </w:rPr>
        <w:t>change</w:t>
      </w:r>
      <w:r w:rsidR="00FA5171" w:rsidRPr="00B95FA2">
        <w:rPr>
          <w:rFonts w:ascii="Times New Roman" w:hAnsi="Times New Roman" w:cs="Times New Roman"/>
          <w:iCs/>
          <w:sz w:val="24"/>
          <w:szCs w:val="24"/>
        </w:rPr>
        <w:t xml:space="preserve"> significantly </w:t>
      </w:r>
      <w:r w:rsidR="00BB5656" w:rsidRPr="00B95FA2">
        <w:rPr>
          <w:rFonts w:ascii="Times New Roman" w:hAnsi="Times New Roman" w:cs="Times New Roman"/>
          <w:iCs/>
          <w:sz w:val="24"/>
          <w:szCs w:val="24"/>
        </w:rPr>
        <w:t xml:space="preserve">from </w:t>
      </w:r>
      <w:r w:rsidR="00FA5171" w:rsidRPr="00B95FA2">
        <w:rPr>
          <w:rFonts w:ascii="Times New Roman" w:hAnsi="Times New Roman" w:cs="Times New Roman"/>
          <w:iCs/>
          <w:sz w:val="24"/>
          <w:szCs w:val="24"/>
        </w:rPr>
        <w:t xml:space="preserve">year </w:t>
      </w:r>
      <w:r w:rsidR="00BB5656" w:rsidRPr="00B95FA2">
        <w:rPr>
          <w:rFonts w:ascii="Times New Roman" w:hAnsi="Times New Roman" w:cs="Times New Roman"/>
          <w:iCs/>
          <w:sz w:val="24"/>
          <w:szCs w:val="24"/>
        </w:rPr>
        <w:t>to</w:t>
      </w:r>
      <w:r w:rsidR="00FA5171" w:rsidRPr="00B95FA2">
        <w:rPr>
          <w:rFonts w:ascii="Times New Roman" w:hAnsi="Times New Roman" w:cs="Times New Roman"/>
          <w:iCs/>
          <w:sz w:val="24"/>
          <w:szCs w:val="24"/>
        </w:rPr>
        <w:t xml:space="preserve"> year (</w:t>
      </w:r>
      <w:r w:rsidR="002220CD" w:rsidRPr="00B95FA2">
        <w:rPr>
          <w:rFonts w:ascii="Times New Roman" w:hAnsi="Times New Roman" w:cs="Times New Roman"/>
          <w:iCs/>
          <w:sz w:val="24"/>
          <w:szCs w:val="24"/>
          <w:u w:val="single"/>
        </w:rPr>
        <w:t xml:space="preserve">typically </w:t>
      </w:r>
      <w:r w:rsidR="00EA344E" w:rsidRPr="00B95FA2">
        <w:rPr>
          <w:rFonts w:ascii="Times New Roman" w:hAnsi="Times New Roman" w:cs="Times New Roman"/>
          <w:iCs/>
          <w:sz w:val="24"/>
          <w:szCs w:val="24"/>
          <w:u w:val="single"/>
        </w:rPr>
        <w:t>deviating by</w:t>
      </w:r>
      <w:r w:rsidR="002220CD" w:rsidRPr="00B95FA2">
        <w:rPr>
          <w:rFonts w:ascii="Times New Roman" w:hAnsi="Times New Roman" w:cs="Times New Roman"/>
          <w:iCs/>
          <w:sz w:val="24"/>
          <w:szCs w:val="24"/>
        </w:rPr>
        <w:t xml:space="preserve"> </w:t>
      </w:r>
      <w:r w:rsidR="00FA5171" w:rsidRPr="00B95FA2">
        <w:rPr>
          <w:rFonts w:ascii="Times New Roman" w:hAnsi="Times New Roman" w:cs="Times New Roman"/>
          <w:iCs/>
          <w:sz w:val="24"/>
          <w:szCs w:val="24"/>
        </w:rPr>
        <w:t>less than 5%).</w:t>
      </w:r>
    </w:p>
    <w:p w14:paraId="608B95FB" w14:textId="2379F169" w:rsidR="001C2CE6" w:rsidRDefault="001C2CE6" w:rsidP="00E130E8">
      <w:pPr>
        <w:spacing w:after="0" w:line="240" w:lineRule="auto"/>
        <w:jc w:val="both"/>
        <w:rPr>
          <w:rFonts w:ascii="Times New Roman" w:hAnsi="Times New Roman" w:cs="Times New Roman"/>
          <w:iCs/>
          <w:sz w:val="24"/>
          <w:szCs w:val="24"/>
        </w:rPr>
      </w:pPr>
    </w:p>
    <w:p w14:paraId="79255FAD" w14:textId="57B8A882" w:rsidR="00080912" w:rsidRPr="00893FED" w:rsidRDefault="001C2CE6"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DISCUSSION</w:t>
      </w:r>
      <w:r w:rsidR="00080912" w:rsidRPr="00893FED">
        <w:rPr>
          <w:rFonts w:ascii="Times New Roman" w:hAnsi="Times New Roman" w:cs="Times New Roman"/>
          <w:sz w:val="24"/>
          <w:szCs w:val="24"/>
        </w:rPr>
        <w:t>:</w:t>
      </w:r>
    </w:p>
    <w:p w14:paraId="29D46317" w14:textId="77777777" w:rsidR="00080912" w:rsidRPr="00893FED" w:rsidRDefault="00080912" w:rsidP="00E130E8">
      <w:pPr>
        <w:spacing w:after="0" w:line="240" w:lineRule="auto"/>
        <w:jc w:val="both"/>
        <w:rPr>
          <w:rFonts w:ascii="Times New Roman" w:hAnsi="Times New Roman" w:cs="Times New Roman"/>
          <w:sz w:val="24"/>
          <w:szCs w:val="24"/>
        </w:rPr>
      </w:pPr>
    </w:p>
    <w:p w14:paraId="2B63D798" w14:textId="35270BDD" w:rsidR="00C84BAB" w:rsidRPr="00146744" w:rsidRDefault="00507A9A" w:rsidP="00D11B17">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The general </w:t>
      </w:r>
      <w:proofErr w:type="gramStart"/>
      <w:r>
        <w:rPr>
          <w:rFonts w:ascii="Times New Roman" w:hAnsi="Times New Roman" w:cs="Times New Roman"/>
          <w:iCs/>
          <w:sz w:val="24"/>
          <w:szCs w:val="24"/>
        </w:rPr>
        <w:t>funds’</w:t>
      </w:r>
      <w:proofErr w:type="gramEnd"/>
      <w:r>
        <w:rPr>
          <w:rFonts w:ascii="Times New Roman" w:hAnsi="Times New Roman" w:cs="Times New Roman"/>
          <w:iCs/>
          <w:sz w:val="24"/>
          <w:szCs w:val="24"/>
        </w:rPr>
        <w:t xml:space="preserve"> combined spendable fund balance for Fiscal Year 2022 </w:t>
      </w:r>
      <w:r w:rsidR="003142E0">
        <w:rPr>
          <w:rFonts w:ascii="Times New Roman" w:hAnsi="Times New Roman" w:cs="Times New Roman"/>
          <w:iCs/>
          <w:sz w:val="24"/>
          <w:szCs w:val="24"/>
        </w:rPr>
        <w:t>is approximately $38.9M</w:t>
      </w:r>
      <w:r w:rsidR="00C3396D">
        <w:rPr>
          <w:rFonts w:ascii="Times New Roman" w:hAnsi="Times New Roman" w:cs="Times New Roman"/>
          <w:iCs/>
          <w:sz w:val="24"/>
          <w:szCs w:val="24"/>
        </w:rPr>
        <w:t xml:space="preserve">.  Of </w:t>
      </w:r>
      <w:r w:rsidR="00B62A1A">
        <w:rPr>
          <w:rFonts w:ascii="Times New Roman" w:hAnsi="Times New Roman" w:cs="Times New Roman"/>
          <w:iCs/>
          <w:sz w:val="24"/>
          <w:szCs w:val="24"/>
        </w:rPr>
        <w:t xml:space="preserve">the current year’s </w:t>
      </w:r>
      <w:r w:rsidR="00C3396D">
        <w:rPr>
          <w:rFonts w:ascii="Times New Roman" w:hAnsi="Times New Roman" w:cs="Times New Roman"/>
          <w:iCs/>
          <w:sz w:val="24"/>
          <w:szCs w:val="24"/>
        </w:rPr>
        <w:t>total, $20.3</w:t>
      </w:r>
      <w:r w:rsidR="00115A36">
        <w:rPr>
          <w:rFonts w:ascii="Times New Roman" w:hAnsi="Times New Roman" w:cs="Times New Roman"/>
          <w:iCs/>
          <w:sz w:val="24"/>
          <w:szCs w:val="24"/>
        </w:rPr>
        <w:t>M</w:t>
      </w:r>
      <w:r w:rsidR="00C3396D">
        <w:rPr>
          <w:rFonts w:ascii="Times New Roman" w:hAnsi="Times New Roman" w:cs="Times New Roman"/>
          <w:iCs/>
          <w:sz w:val="24"/>
          <w:szCs w:val="24"/>
        </w:rPr>
        <w:t xml:space="preserve"> represents </w:t>
      </w:r>
      <w:r w:rsidR="00115A36">
        <w:rPr>
          <w:rFonts w:ascii="Times New Roman" w:hAnsi="Times New Roman" w:cs="Times New Roman"/>
          <w:iCs/>
          <w:sz w:val="24"/>
          <w:szCs w:val="24"/>
        </w:rPr>
        <w:t xml:space="preserve">the now-included accrued revenues from the immediately previous fiscal year, Fiscal Year 2021.  </w:t>
      </w:r>
      <w:r>
        <w:rPr>
          <w:rFonts w:ascii="Times New Roman" w:hAnsi="Times New Roman" w:cs="Times New Roman"/>
          <w:iCs/>
          <w:sz w:val="24"/>
          <w:szCs w:val="24"/>
        </w:rPr>
        <w:t xml:space="preserve">And due to the exclusion </w:t>
      </w:r>
      <w:r w:rsidR="003142E0">
        <w:rPr>
          <w:rFonts w:ascii="Times New Roman" w:hAnsi="Times New Roman" w:cs="Times New Roman"/>
          <w:iCs/>
          <w:sz w:val="24"/>
          <w:szCs w:val="24"/>
        </w:rPr>
        <w:t xml:space="preserve">of the accrued revenues </w:t>
      </w:r>
      <w:r w:rsidR="00DB7792">
        <w:rPr>
          <w:rFonts w:ascii="Times New Roman" w:hAnsi="Times New Roman" w:cs="Times New Roman"/>
          <w:iCs/>
          <w:sz w:val="24"/>
          <w:szCs w:val="24"/>
        </w:rPr>
        <w:t xml:space="preserve">for </w:t>
      </w:r>
      <w:r w:rsidR="003142E0">
        <w:rPr>
          <w:rFonts w:ascii="Times New Roman" w:hAnsi="Times New Roman" w:cs="Times New Roman"/>
          <w:iCs/>
          <w:sz w:val="24"/>
          <w:szCs w:val="24"/>
        </w:rPr>
        <w:t xml:space="preserve">the </w:t>
      </w:r>
      <w:r w:rsidR="00DB7792">
        <w:rPr>
          <w:rFonts w:ascii="Times New Roman" w:hAnsi="Times New Roman" w:cs="Times New Roman"/>
          <w:iCs/>
          <w:sz w:val="24"/>
          <w:szCs w:val="24"/>
        </w:rPr>
        <w:t>corresponding</w:t>
      </w:r>
      <w:r w:rsidR="003142E0">
        <w:rPr>
          <w:rFonts w:ascii="Times New Roman" w:hAnsi="Times New Roman" w:cs="Times New Roman"/>
          <w:iCs/>
          <w:sz w:val="24"/>
          <w:szCs w:val="24"/>
        </w:rPr>
        <w:t xml:space="preserve"> previous fiscal year </w:t>
      </w:r>
      <w:r>
        <w:rPr>
          <w:rFonts w:ascii="Times New Roman" w:hAnsi="Times New Roman" w:cs="Times New Roman"/>
          <w:iCs/>
          <w:sz w:val="24"/>
          <w:szCs w:val="24"/>
        </w:rPr>
        <w:t xml:space="preserve">from previous balances reported, the </w:t>
      </w:r>
      <w:r w:rsidR="003142E0">
        <w:rPr>
          <w:rFonts w:ascii="Times New Roman" w:hAnsi="Times New Roman" w:cs="Times New Roman"/>
          <w:iCs/>
          <w:sz w:val="24"/>
          <w:szCs w:val="24"/>
        </w:rPr>
        <w:t>total also includes Fiscal Year 2020 accrued revenues.</w:t>
      </w:r>
    </w:p>
    <w:p w14:paraId="70A0CF48" w14:textId="77777777" w:rsidR="00C84BAB" w:rsidRPr="00146744" w:rsidRDefault="00C84BAB" w:rsidP="00D11B17">
      <w:pPr>
        <w:spacing w:after="0" w:line="240" w:lineRule="auto"/>
        <w:jc w:val="both"/>
        <w:rPr>
          <w:rFonts w:ascii="Times New Roman" w:hAnsi="Times New Roman" w:cs="Times New Roman"/>
          <w:iCs/>
          <w:sz w:val="24"/>
          <w:szCs w:val="24"/>
        </w:rPr>
      </w:pPr>
    </w:p>
    <w:p w14:paraId="53EA2AEB" w14:textId="10D7992E" w:rsidR="00D11B17" w:rsidRDefault="00507A9A" w:rsidP="00837E5A">
      <w:pPr>
        <w:spacing w:after="12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The table below </w:t>
      </w:r>
      <w:r w:rsidR="00DB7792">
        <w:rPr>
          <w:rFonts w:ascii="Times New Roman" w:hAnsi="Times New Roman" w:cs="Times New Roman"/>
          <w:iCs/>
          <w:sz w:val="24"/>
          <w:szCs w:val="24"/>
        </w:rPr>
        <w:t xml:space="preserve">compares </w:t>
      </w:r>
      <w:r w:rsidR="007D2C1A">
        <w:rPr>
          <w:rFonts w:ascii="Times New Roman" w:hAnsi="Times New Roman" w:cs="Times New Roman"/>
          <w:iCs/>
          <w:sz w:val="24"/>
          <w:szCs w:val="24"/>
        </w:rPr>
        <w:t xml:space="preserve">the calculation of </w:t>
      </w:r>
      <w:r w:rsidR="00AE2EB5">
        <w:rPr>
          <w:rFonts w:ascii="Times New Roman" w:hAnsi="Times New Roman" w:cs="Times New Roman"/>
          <w:iCs/>
          <w:sz w:val="24"/>
          <w:szCs w:val="24"/>
        </w:rPr>
        <w:t xml:space="preserve">the </w:t>
      </w:r>
      <w:r w:rsidR="00DB7792">
        <w:rPr>
          <w:rFonts w:ascii="Times New Roman" w:hAnsi="Times New Roman" w:cs="Times New Roman"/>
          <w:iCs/>
          <w:sz w:val="24"/>
          <w:szCs w:val="24"/>
        </w:rPr>
        <w:t xml:space="preserve">spendable fund balance </w:t>
      </w:r>
      <w:r w:rsidR="00AE2EB5">
        <w:rPr>
          <w:rFonts w:ascii="Times New Roman" w:hAnsi="Times New Roman" w:cs="Times New Roman"/>
          <w:iCs/>
          <w:sz w:val="24"/>
          <w:szCs w:val="24"/>
        </w:rPr>
        <w:t xml:space="preserve">available for Fiscal Year 2022 </w:t>
      </w:r>
      <w:r w:rsidR="00DB7792">
        <w:rPr>
          <w:rFonts w:ascii="Times New Roman" w:hAnsi="Times New Roman" w:cs="Times New Roman"/>
          <w:iCs/>
          <w:sz w:val="24"/>
          <w:szCs w:val="24"/>
        </w:rPr>
        <w:t>including</w:t>
      </w:r>
      <w:r w:rsidR="008D0A3F">
        <w:rPr>
          <w:rFonts w:ascii="Times New Roman" w:hAnsi="Times New Roman" w:cs="Times New Roman"/>
          <w:iCs/>
          <w:sz w:val="24"/>
          <w:szCs w:val="24"/>
        </w:rPr>
        <w:t xml:space="preserve"> </w:t>
      </w:r>
      <w:r w:rsidR="00DB7792">
        <w:rPr>
          <w:rFonts w:ascii="Times New Roman" w:hAnsi="Times New Roman" w:cs="Times New Roman"/>
          <w:iCs/>
          <w:sz w:val="24"/>
          <w:szCs w:val="24"/>
        </w:rPr>
        <w:t>and excluding</w:t>
      </w:r>
      <w:r w:rsidR="008D0A3F">
        <w:rPr>
          <w:rFonts w:ascii="Times New Roman" w:hAnsi="Times New Roman" w:cs="Times New Roman"/>
          <w:iCs/>
          <w:sz w:val="24"/>
          <w:szCs w:val="24"/>
        </w:rPr>
        <w:t xml:space="preserve"> </w:t>
      </w:r>
      <w:r w:rsidR="003A6713">
        <w:rPr>
          <w:rFonts w:ascii="Times New Roman" w:hAnsi="Times New Roman" w:cs="Times New Roman"/>
          <w:iCs/>
          <w:sz w:val="24"/>
          <w:szCs w:val="24"/>
        </w:rPr>
        <w:t xml:space="preserve">the most recent fiscal year’s (i.e., </w:t>
      </w:r>
      <w:r w:rsidR="00DB7792">
        <w:rPr>
          <w:rFonts w:ascii="Times New Roman" w:hAnsi="Times New Roman" w:cs="Times New Roman"/>
          <w:iCs/>
          <w:sz w:val="24"/>
          <w:szCs w:val="24"/>
        </w:rPr>
        <w:t>Fiscal Year 2021</w:t>
      </w:r>
      <w:r w:rsidR="003A6713">
        <w:rPr>
          <w:rFonts w:ascii="Times New Roman" w:hAnsi="Times New Roman" w:cs="Times New Roman"/>
          <w:iCs/>
          <w:sz w:val="24"/>
          <w:szCs w:val="24"/>
        </w:rPr>
        <w:t>’s)</w:t>
      </w:r>
      <w:r w:rsidR="00DB7792">
        <w:rPr>
          <w:rFonts w:ascii="Times New Roman" w:hAnsi="Times New Roman" w:cs="Times New Roman"/>
          <w:iCs/>
          <w:sz w:val="24"/>
          <w:szCs w:val="24"/>
        </w:rPr>
        <w:t xml:space="preserve"> accrued revenues</w:t>
      </w:r>
      <w:r w:rsidR="003930D0">
        <w:rPr>
          <w:rFonts w:ascii="Times New Roman" w:hAnsi="Times New Roman" w:cs="Times New Roman"/>
          <w:iCs/>
          <w:sz w:val="24"/>
          <w:szCs w:val="24"/>
        </w:rPr>
        <w:t>,</w:t>
      </w:r>
      <w:r w:rsidR="00DB7792">
        <w:rPr>
          <w:rFonts w:ascii="Times New Roman" w:hAnsi="Times New Roman" w:cs="Times New Roman"/>
          <w:iCs/>
          <w:sz w:val="24"/>
          <w:szCs w:val="24"/>
        </w:rPr>
        <w:t xml:space="preserve"> </w:t>
      </w:r>
      <w:r w:rsidR="003930D0">
        <w:rPr>
          <w:rFonts w:ascii="Times New Roman" w:hAnsi="Times New Roman" w:cs="Times New Roman"/>
          <w:iCs/>
          <w:sz w:val="24"/>
          <w:szCs w:val="24"/>
        </w:rPr>
        <w:t xml:space="preserve">to </w:t>
      </w:r>
      <w:r w:rsidR="00C84BAB" w:rsidRPr="001C7193">
        <w:rPr>
          <w:rFonts w:ascii="Times New Roman" w:hAnsi="Times New Roman" w:cs="Times New Roman"/>
          <w:iCs/>
          <w:sz w:val="24"/>
          <w:szCs w:val="24"/>
        </w:rPr>
        <w:t>illustrate</w:t>
      </w:r>
      <w:r w:rsidR="00815CE2" w:rsidRPr="001C7193">
        <w:rPr>
          <w:rFonts w:ascii="Times New Roman" w:hAnsi="Times New Roman" w:cs="Times New Roman"/>
          <w:iCs/>
          <w:sz w:val="24"/>
          <w:szCs w:val="24"/>
        </w:rPr>
        <w:t xml:space="preserve"> the </w:t>
      </w:r>
      <w:r w:rsidR="00AE2EB5" w:rsidRPr="001C7193">
        <w:rPr>
          <w:rFonts w:ascii="Times New Roman" w:hAnsi="Times New Roman" w:cs="Times New Roman"/>
          <w:iCs/>
          <w:sz w:val="24"/>
          <w:szCs w:val="24"/>
        </w:rPr>
        <w:t>impact of</w:t>
      </w:r>
      <w:r w:rsidR="00AE2EB5">
        <w:rPr>
          <w:rFonts w:ascii="Times New Roman" w:hAnsi="Times New Roman" w:cs="Times New Roman"/>
          <w:iCs/>
          <w:sz w:val="24"/>
          <w:szCs w:val="24"/>
        </w:rPr>
        <w:t xml:space="preserve"> the inclusion of those revenues </w:t>
      </w:r>
      <w:r w:rsidR="001C7193">
        <w:rPr>
          <w:rFonts w:ascii="Times New Roman" w:hAnsi="Times New Roman" w:cs="Times New Roman"/>
          <w:iCs/>
          <w:sz w:val="24"/>
          <w:szCs w:val="24"/>
        </w:rPr>
        <w:t xml:space="preserve">in the calculation of </w:t>
      </w:r>
      <w:r w:rsidR="00AE2EB5">
        <w:rPr>
          <w:rFonts w:ascii="Times New Roman" w:hAnsi="Times New Roman" w:cs="Times New Roman"/>
          <w:iCs/>
          <w:sz w:val="24"/>
          <w:szCs w:val="24"/>
        </w:rPr>
        <w:t xml:space="preserve">the </w:t>
      </w:r>
      <w:r w:rsidR="003930D0">
        <w:rPr>
          <w:rFonts w:ascii="Times New Roman" w:hAnsi="Times New Roman" w:cs="Times New Roman"/>
          <w:iCs/>
          <w:sz w:val="24"/>
          <w:szCs w:val="24"/>
        </w:rPr>
        <w:t>current year’s total</w:t>
      </w:r>
      <w:r w:rsidR="003A6713">
        <w:rPr>
          <w:rFonts w:ascii="Times New Roman" w:hAnsi="Times New Roman" w:cs="Times New Roman"/>
          <w:iCs/>
          <w:sz w:val="24"/>
          <w:szCs w:val="24"/>
        </w:rPr>
        <w:t>.</w:t>
      </w:r>
      <w:r w:rsidR="00F55639">
        <w:rPr>
          <w:rFonts w:ascii="Times New Roman" w:hAnsi="Times New Roman" w:cs="Times New Roman"/>
          <w:iCs/>
          <w:sz w:val="24"/>
          <w:szCs w:val="24"/>
        </w:rPr>
        <w:t xml:space="preserve">  </w:t>
      </w:r>
      <w:r w:rsidR="00815CE2">
        <w:rPr>
          <w:rFonts w:ascii="Times New Roman" w:hAnsi="Times New Roman" w:cs="Times New Roman"/>
          <w:iCs/>
          <w:sz w:val="24"/>
          <w:szCs w:val="24"/>
        </w:rPr>
        <w:t>The table does</w:t>
      </w:r>
      <w:r w:rsidR="00F55639">
        <w:rPr>
          <w:rFonts w:ascii="Times New Roman" w:hAnsi="Times New Roman" w:cs="Times New Roman"/>
          <w:iCs/>
          <w:sz w:val="24"/>
          <w:szCs w:val="24"/>
        </w:rPr>
        <w:t xml:space="preserve"> not</w:t>
      </w:r>
      <w:r w:rsidR="00815CE2">
        <w:rPr>
          <w:rFonts w:ascii="Times New Roman" w:hAnsi="Times New Roman" w:cs="Times New Roman"/>
          <w:iCs/>
          <w:sz w:val="24"/>
          <w:szCs w:val="24"/>
        </w:rPr>
        <w:t xml:space="preserve"> include</w:t>
      </w:r>
      <w:r w:rsidR="007D2C1A">
        <w:rPr>
          <w:rFonts w:ascii="Times New Roman" w:hAnsi="Times New Roman" w:cs="Times New Roman"/>
          <w:iCs/>
          <w:sz w:val="24"/>
          <w:szCs w:val="24"/>
        </w:rPr>
        <w:t xml:space="preserve"> the operating </w:t>
      </w:r>
      <w:r w:rsidR="00815CE2">
        <w:rPr>
          <w:rFonts w:ascii="Times New Roman" w:hAnsi="Times New Roman" w:cs="Times New Roman"/>
          <w:iCs/>
          <w:sz w:val="24"/>
          <w:szCs w:val="24"/>
        </w:rPr>
        <w:t>reserve balance</w:t>
      </w:r>
      <w:r w:rsidR="007D2C1A">
        <w:rPr>
          <w:rFonts w:ascii="Times New Roman" w:hAnsi="Times New Roman" w:cs="Times New Roman"/>
          <w:iCs/>
          <w:sz w:val="24"/>
          <w:szCs w:val="24"/>
        </w:rPr>
        <w:t>, a combined $9.75M, or other reserve</w:t>
      </w:r>
      <w:r w:rsidR="00AE2EB5">
        <w:rPr>
          <w:rFonts w:ascii="Times New Roman" w:hAnsi="Times New Roman" w:cs="Times New Roman"/>
          <w:iCs/>
          <w:sz w:val="24"/>
          <w:szCs w:val="24"/>
        </w:rPr>
        <w:t xml:space="preserve"> balance</w:t>
      </w:r>
      <w:r w:rsidR="007D2C1A">
        <w:rPr>
          <w:rFonts w:ascii="Times New Roman" w:hAnsi="Times New Roman" w:cs="Times New Roman"/>
          <w:iCs/>
          <w:sz w:val="24"/>
          <w:szCs w:val="24"/>
        </w:rPr>
        <w:t>s</w:t>
      </w:r>
      <w:r w:rsidR="00815CE2">
        <w:rPr>
          <w:rFonts w:ascii="Times New Roman" w:hAnsi="Times New Roman" w:cs="Times New Roman"/>
          <w:iCs/>
          <w:sz w:val="24"/>
          <w:szCs w:val="24"/>
        </w:rPr>
        <w:t>.</w:t>
      </w:r>
    </w:p>
    <w:tbl>
      <w:tblPr>
        <w:tblStyle w:val="TableGrid"/>
        <w:tblW w:w="83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2" w:type="dxa"/>
          <w:right w:w="72" w:type="dxa"/>
        </w:tblCellMar>
        <w:tblLook w:val="04A0" w:firstRow="1" w:lastRow="0" w:firstColumn="1" w:lastColumn="0" w:noHBand="0" w:noVBand="1"/>
      </w:tblPr>
      <w:tblGrid>
        <w:gridCol w:w="4230"/>
        <w:gridCol w:w="1440"/>
        <w:gridCol w:w="1350"/>
        <w:gridCol w:w="612"/>
        <w:gridCol w:w="738"/>
      </w:tblGrid>
      <w:tr w:rsidR="00FB0F65" w:rsidRPr="0096623E" w14:paraId="7D74935B" w14:textId="77777777" w:rsidTr="00375D84">
        <w:trPr>
          <w:gridAfter w:val="1"/>
          <w:wAfter w:w="738" w:type="dxa"/>
          <w:trHeight w:hRule="exact" w:val="360"/>
          <w:jc w:val="center"/>
        </w:trPr>
        <w:tc>
          <w:tcPr>
            <w:tcW w:w="7632" w:type="dxa"/>
            <w:gridSpan w:val="4"/>
            <w:noWrap/>
            <w:tcMar>
              <w:left w:w="72" w:type="dxa"/>
              <w:right w:w="72" w:type="dxa"/>
            </w:tcMar>
            <w:vAlign w:val="center"/>
          </w:tcPr>
          <w:p w14:paraId="13820132" w14:textId="77FE8B5F" w:rsidR="00B172F5" w:rsidRPr="0096623E" w:rsidRDefault="00FB0F65" w:rsidP="00837E5A">
            <w:pPr>
              <w:jc w:val="center"/>
              <w:rPr>
                <w:rFonts w:ascii="Times New Roman" w:eastAsia="Times New Roman" w:hAnsi="Times New Roman" w:cs="Times New Roman"/>
                <w:b/>
                <w:bCs/>
              </w:rPr>
            </w:pPr>
            <w:r w:rsidRPr="0096623E">
              <w:rPr>
                <w:rFonts w:ascii="Times New Roman" w:hAnsi="Times New Roman" w:cs="Times New Roman"/>
                <w:b/>
                <w:bCs/>
                <w:iCs/>
              </w:rPr>
              <w:t>Estimated Spendable (Unreserved) Fund Balance</w:t>
            </w:r>
          </w:p>
        </w:tc>
      </w:tr>
      <w:tr w:rsidR="008D394B" w:rsidRPr="0096623E" w14:paraId="55F91778" w14:textId="77777777" w:rsidTr="0096623E">
        <w:trPr>
          <w:trHeight w:hRule="exact" w:val="504"/>
          <w:jc w:val="center"/>
        </w:trPr>
        <w:tc>
          <w:tcPr>
            <w:tcW w:w="4230" w:type="dxa"/>
            <w:noWrap/>
            <w:tcMar>
              <w:left w:w="72" w:type="dxa"/>
              <w:bottom w:w="144" w:type="dxa"/>
              <w:right w:w="72" w:type="dxa"/>
            </w:tcMar>
            <w:vAlign w:val="bottom"/>
          </w:tcPr>
          <w:p w14:paraId="1C499D5A" w14:textId="77777777" w:rsidR="00641283" w:rsidRPr="0096623E" w:rsidRDefault="00641283" w:rsidP="008E7E50">
            <w:pPr>
              <w:rPr>
                <w:rFonts w:ascii="Times New Roman" w:eastAsia="Times New Roman" w:hAnsi="Times New Roman" w:cs="Times New Roman"/>
              </w:rPr>
            </w:pPr>
          </w:p>
        </w:tc>
        <w:tc>
          <w:tcPr>
            <w:tcW w:w="1440" w:type="dxa"/>
            <w:noWrap/>
            <w:tcMar>
              <w:left w:w="288" w:type="dxa"/>
              <w:bottom w:w="144" w:type="dxa"/>
              <w:right w:w="72" w:type="dxa"/>
            </w:tcMar>
            <w:vAlign w:val="bottom"/>
          </w:tcPr>
          <w:p w14:paraId="4F264443" w14:textId="58F40F2F" w:rsidR="00641283" w:rsidRPr="0096623E" w:rsidRDefault="00B172F5" w:rsidP="00641283">
            <w:pPr>
              <w:jc w:val="center"/>
              <w:rPr>
                <w:rFonts w:ascii="Times New Roman" w:eastAsia="Times New Roman" w:hAnsi="Times New Roman" w:cs="Times New Roman"/>
                <w:u w:val="single"/>
              </w:rPr>
            </w:pPr>
            <w:r w:rsidRPr="0096623E">
              <w:rPr>
                <w:rFonts w:ascii="Times New Roman" w:eastAsia="Times New Roman" w:hAnsi="Times New Roman" w:cs="Times New Roman"/>
              </w:rPr>
              <w:t xml:space="preserve">New </w:t>
            </w:r>
            <w:r w:rsidRPr="0096623E">
              <w:rPr>
                <w:rFonts w:ascii="Times New Roman" w:eastAsia="Times New Roman" w:hAnsi="Times New Roman" w:cs="Times New Roman"/>
                <w:u w:val="single"/>
              </w:rPr>
              <w:t>Calculation</w:t>
            </w:r>
          </w:p>
        </w:tc>
        <w:tc>
          <w:tcPr>
            <w:tcW w:w="1350" w:type="dxa"/>
            <w:noWrap/>
            <w:tcMar>
              <w:left w:w="187" w:type="dxa"/>
              <w:bottom w:w="144" w:type="dxa"/>
              <w:right w:w="101" w:type="dxa"/>
            </w:tcMar>
            <w:vAlign w:val="bottom"/>
          </w:tcPr>
          <w:p w14:paraId="0A158B85" w14:textId="2B0A62EE" w:rsidR="00641283" w:rsidRPr="0096623E" w:rsidRDefault="00641283" w:rsidP="00641283">
            <w:pPr>
              <w:jc w:val="center"/>
              <w:rPr>
                <w:rFonts w:ascii="Times New Roman" w:eastAsia="Times New Roman" w:hAnsi="Times New Roman" w:cs="Times New Roman"/>
                <w:u w:val="single"/>
              </w:rPr>
            </w:pPr>
            <w:r w:rsidRPr="0096623E">
              <w:rPr>
                <w:rFonts w:ascii="Times New Roman" w:eastAsia="Times New Roman" w:hAnsi="Times New Roman" w:cs="Times New Roman"/>
              </w:rPr>
              <w:t>Previous</w:t>
            </w:r>
            <w:r w:rsidR="007D2C1A" w:rsidRPr="0096623E">
              <w:rPr>
                <w:rFonts w:ascii="Times New Roman" w:eastAsia="Times New Roman" w:hAnsi="Times New Roman" w:cs="Times New Roman"/>
              </w:rPr>
              <w:t xml:space="preserve"> </w:t>
            </w:r>
            <w:r w:rsidR="007D2C1A" w:rsidRPr="0096623E">
              <w:rPr>
                <w:rFonts w:ascii="Times New Roman" w:eastAsia="Times New Roman" w:hAnsi="Times New Roman" w:cs="Times New Roman"/>
                <w:u w:val="single"/>
              </w:rPr>
              <w:t>Calculation</w:t>
            </w:r>
          </w:p>
        </w:tc>
        <w:tc>
          <w:tcPr>
            <w:tcW w:w="1350" w:type="dxa"/>
            <w:gridSpan w:val="2"/>
            <w:noWrap/>
            <w:tcMar>
              <w:left w:w="245" w:type="dxa"/>
              <w:bottom w:w="144" w:type="dxa"/>
              <w:right w:w="115" w:type="dxa"/>
            </w:tcMar>
            <w:vAlign w:val="bottom"/>
          </w:tcPr>
          <w:p w14:paraId="7796243C" w14:textId="6823F92C" w:rsidR="00641283" w:rsidRPr="0096623E" w:rsidRDefault="00FB0F65" w:rsidP="00FB0F65">
            <w:pPr>
              <w:jc w:val="center"/>
              <w:rPr>
                <w:rFonts w:ascii="Times New Roman" w:eastAsia="Times New Roman" w:hAnsi="Times New Roman" w:cs="Times New Roman"/>
                <w:u w:val="single"/>
              </w:rPr>
            </w:pPr>
            <w:r w:rsidRPr="0096623E">
              <w:rPr>
                <w:rFonts w:ascii="Times New Roman" w:eastAsia="Times New Roman" w:hAnsi="Times New Roman" w:cs="Times New Roman"/>
                <w:u w:val="single"/>
              </w:rPr>
              <w:t>Difference</w:t>
            </w:r>
          </w:p>
        </w:tc>
      </w:tr>
      <w:tr w:rsidR="00522AA1" w:rsidRPr="0096623E" w14:paraId="6EA573ED" w14:textId="77777777" w:rsidTr="00042BAF">
        <w:trPr>
          <w:trHeight w:hRule="exact" w:val="288"/>
          <w:jc w:val="center"/>
        </w:trPr>
        <w:tc>
          <w:tcPr>
            <w:tcW w:w="4230" w:type="dxa"/>
            <w:noWrap/>
            <w:tcMar>
              <w:left w:w="72" w:type="dxa"/>
              <w:right w:w="72" w:type="dxa"/>
            </w:tcMar>
            <w:vAlign w:val="center"/>
            <w:hideMark/>
          </w:tcPr>
          <w:p w14:paraId="153CFFB8" w14:textId="260C91AD" w:rsidR="008E7E50" w:rsidRPr="0096623E" w:rsidRDefault="008E7E50" w:rsidP="008E7E50">
            <w:pPr>
              <w:rPr>
                <w:rFonts w:ascii="Times New Roman" w:eastAsia="Times New Roman" w:hAnsi="Times New Roman" w:cs="Times New Roman"/>
              </w:rPr>
            </w:pPr>
            <w:bookmarkStart w:id="0" w:name="_Hlk91778025"/>
            <w:r w:rsidRPr="0096623E">
              <w:rPr>
                <w:rFonts w:ascii="Times New Roman" w:eastAsia="Times New Roman" w:hAnsi="Times New Roman" w:cs="Times New Roman"/>
              </w:rPr>
              <w:t>Cash Balance</w:t>
            </w:r>
            <w:r w:rsidR="00B172F5" w:rsidRPr="0096623E">
              <w:rPr>
                <w:rFonts w:ascii="Times New Roman" w:eastAsia="Times New Roman" w:hAnsi="Times New Roman" w:cs="Times New Roman"/>
              </w:rPr>
              <w:t>,</w:t>
            </w:r>
            <w:r w:rsidRPr="0096623E">
              <w:rPr>
                <w:rFonts w:ascii="Times New Roman" w:eastAsia="Times New Roman" w:hAnsi="Times New Roman" w:cs="Times New Roman"/>
              </w:rPr>
              <w:t xml:space="preserve"> June 30, 2021</w:t>
            </w:r>
          </w:p>
        </w:tc>
        <w:tc>
          <w:tcPr>
            <w:tcW w:w="1440" w:type="dxa"/>
            <w:noWrap/>
            <w:tcMar>
              <w:left w:w="72" w:type="dxa"/>
              <w:right w:w="72" w:type="dxa"/>
            </w:tcMar>
            <w:vAlign w:val="center"/>
            <w:hideMark/>
          </w:tcPr>
          <w:p w14:paraId="6D5EF141" w14:textId="4F55C950" w:rsidR="008E7E50" w:rsidRPr="0096623E" w:rsidRDefault="008E7E50" w:rsidP="00641283">
            <w:pPr>
              <w:jc w:val="right"/>
              <w:rPr>
                <w:rFonts w:ascii="Times New Roman" w:eastAsia="Times New Roman" w:hAnsi="Times New Roman" w:cs="Times New Roman"/>
              </w:rPr>
            </w:pPr>
            <w:r w:rsidRPr="0096623E">
              <w:rPr>
                <w:rFonts w:ascii="Times New Roman" w:eastAsia="Times New Roman" w:hAnsi="Times New Roman" w:cs="Times New Roman"/>
              </w:rPr>
              <w:t>$42,581,000</w:t>
            </w:r>
          </w:p>
        </w:tc>
        <w:tc>
          <w:tcPr>
            <w:tcW w:w="1350" w:type="dxa"/>
            <w:noWrap/>
            <w:tcMar>
              <w:left w:w="72" w:type="dxa"/>
              <w:right w:w="72" w:type="dxa"/>
            </w:tcMar>
            <w:vAlign w:val="center"/>
            <w:hideMark/>
          </w:tcPr>
          <w:p w14:paraId="17B0345D" w14:textId="65CC813A" w:rsidR="008E7E50" w:rsidRPr="0096623E" w:rsidRDefault="008E7E50" w:rsidP="00641283">
            <w:pPr>
              <w:jc w:val="right"/>
              <w:rPr>
                <w:rFonts w:ascii="Times New Roman" w:eastAsia="Times New Roman" w:hAnsi="Times New Roman" w:cs="Times New Roman"/>
              </w:rPr>
            </w:pPr>
            <w:r w:rsidRPr="0096623E">
              <w:rPr>
                <w:rFonts w:ascii="Times New Roman" w:eastAsia="Times New Roman" w:hAnsi="Times New Roman" w:cs="Times New Roman"/>
              </w:rPr>
              <w:t>$42,581,000</w:t>
            </w:r>
          </w:p>
        </w:tc>
        <w:tc>
          <w:tcPr>
            <w:tcW w:w="1350" w:type="dxa"/>
            <w:gridSpan w:val="2"/>
            <w:noWrap/>
            <w:tcMar>
              <w:left w:w="72" w:type="dxa"/>
              <w:right w:w="72" w:type="dxa"/>
            </w:tcMar>
            <w:vAlign w:val="center"/>
            <w:hideMark/>
          </w:tcPr>
          <w:p w14:paraId="6687466B" w14:textId="416D871B" w:rsidR="008E7E50" w:rsidRPr="0096623E" w:rsidRDefault="00FB0F65" w:rsidP="00641283">
            <w:pPr>
              <w:jc w:val="right"/>
              <w:rPr>
                <w:rFonts w:ascii="Times New Roman" w:eastAsia="Times New Roman" w:hAnsi="Times New Roman" w:cs="Times New Roman"/>
              </w:rPr>
            </w:pPr>
            <w:r w:rsidRPr="0096623E">
              <w:rPr>
                <w:rFonts w:ascii="Times New Roman" w:eastAsia="Times New Roman" w:hAnsi="Times New Roman" w:cs="Times New Roman"/>
              </w:rPr>
              <w:t xml:space="preserve">$                 </w:t>
            </w:r>
            <w:r w:rsidR="008E7E50" w:rsidRPr="0096623E">
              <w:rPr>
                <w:rFonts w:ascii="Times New Roman" w:eastAsia="Times New Roman" w:hAnsi="Times New Roman" w:cs="Times New Roman"/>
              </w:rPr>
              <w:t>-</w:t>
            </w:r>
          </w:p>
        </w:tc>
      </w:tr>
      <w:tr w:rsidR="00D65A9C" w:rsidRPr="0096623E" w14:paraId="2D17C18E" w14:textId="77777777" w:rsidTr="00D65A9C">
        <w:trPr>
          <w:trHeight w:hRule="exact" w:val="72"/>
          <w:jc w:val="center"/>
        </w:trPr>
        <w:tc>
          <w:tcPr>
            <w:tcW w:w="4230" w:type="dxa"/>
            <w:noWrap/>
            <w:tcMar>
              <w:left w:w="72" w:type="dxa"/>
              <w:right w:w="72" w:type="dxa"/>
            </w:tcMar>
            <w:vAlign w:val="center"/>
          </w:tcPr>
          <w:p w14:paraId="543610F9" w14:textId="77777777" w:rsidR="00D65A9C" w:rsidRPr="0096623E" w:rsidRDefault="00D65A9C" w:rsidP="008E7E50">
            <w:pPr>
              <w:rPr>
                <w:rFonts w:ascii="Times New Roman" w:eastAsia="Times New Roman" w:hAnsi="Times New Roman" w:cs="Times New Roman"/>
              </w:rPr>
            </w:pPr>
          </w:p>
        </w:tc>
        <w:tc>
          <w:tcPr>
            <w:tcW w:w="1440" w:type="dxa"/>
            <w:noWrap/>
            <w:tcMar>
              <w:left w:w="72" w:type="dxa"/>
              <w:right w:w="72" w:type="dxa"/>
            </w:tcMar>
            <w:vAlign w:val="center"/>
          </w:tcPr>
          <w:p w14:paraId="39360709" w14:textId="77777777" w:rsidR="00D65A9C" w:rsidRPr="0096623E" w:rsidRDefault="00D65A9C" w:rsidP="00641283">
            <w:pPr>
              <w:jc w:val="right"/>
              <w:rPr>
                <w:rFonts w:ascii="Times New Roman" w:eastAsia="Times New Roman" w:hAnsi="Times New Roman" w:cs="Times New Roman"/>
              </w:rPr>
            </w:pPr>
          </w:p>
        </w:tc>
        <w:tc>
          <w:tcPr>
            <w:tcW w:w="1350" w:type="dxa"/>
            <w:noWrap/>
            <w:tcMar>
              <w:left w:w="72" w:type="dxa"/>
              <w:right w:w="72" w:type="dxa"/>
            </w:tcMar>
            <w:vAlign w:val="center"/>
          </w:tcPr>
          <w:p w14:paraId="68B8B14B" w14:textId="77777777" w:rsidR="00D65A9C" w:rsidRPr="0096623E" w:rsidRDefault="00D65A9C" w:rsidP="00641283">
            <w:pPr>
              <w:jc w:val="right"/>
              <w:rPr>
                <w:rFonts w:ascii="Times New Roman" w:eastAsia="Times New Roman" w:hAnsi="Times New Roman" w:cs="Times New Roman"/>
              </w:rPr>
            </w:pPr>
          </w:p>
        </w:tc>
        <w:tc>
          <w:tcPr>
            <w:tcW w:w="1350" w:type="dxa"/>
            <w:gridSpan w:val="2"/>
            <w:noWrap/>
            <w:tcMar>
              <w:left w:w="72" w:type="dxa"/>
              <w:right w:w="72" w:type="dxa"/>
            </w:tcMar>
            <w:vAlign w:val="center"/>
          </w:tcPr>
          <w:p w14:paraId="10767FF6" w14:textId="77777777" w:rsidR="00D65A9C" w:rsidRPr="0096623E" w:rsidRDefault="00D65A9C" w:rsidP="00641283">
            <w:pPr>
              <w:jc w:val="right"/>
              <w:rPr>
                <w:rFonts w:ascii="Times New Roman" w:eastAsia="Times New Roman" w:hAnsi="Times New Roman" w:cs="Times New Roman"/>
              </w:rPr>
            </w:pPr>
          </w:p>
        </w:tc>
      </w:tr>
      <w:tr w:rsidR="00522AA1" w:rsidRPr="0096623E" w14:paraId="6131AA9A" w14:textId="77777777" w:rsidTr="00042BAF">
        <w:trPr>
          <w:trHeight w:hRule="exact" w:val="288"/>
          <w:jc w:val="center"/>
        </w:trPr>
        <w:tc>
          <w:tcPr>
            <w:tcW w:w="4230" w:type="dxa"/>
            <w:noWrap/>
            <w:tcMar>
              <w:left w:w="72" w:type="dxa"/>
              <w:right w:w="72" w:type="dxa"/>
            </w:tcMar>
            <w:vAlign w:val="center"/>
            <w:hideMark/>
          </w:tcPr>
          <w:p w14:paraId="5C5D2B01" w14:textId="77777777" w:rsidR="008E7E50" w:rsidRPr="0096623E" w:rsidRDefault="008E7E50" w:rsidP="008E7E50">
            <w:pPr>
              <w:rPr>
                <w:rFonts w:ascii="Times New Roman" w:eastAsia="Times New Roman" w:hAnsi="Times New Roman" w:cs="Times New Roman"/>
              </w:rPr>
            </w:pPr>
            <w:r w:rsidRPr="0096623E">
              <w:rPr>
                <w:rFonts w:ascii="Times New Roman" w:eastAsia="Times New Roman" w:hAnsi="Times New Roman" w:cs="Times New Roman"/>
              </w:rPr>
              <w:t>Plus: Revenue Accruals</w:t>
            </w:r>
          </w:p>
        </w:tc>
        <w:tc>
          <w:tcPr>
            <w:tcW w:w="1440" w:type="dxa"/>
            <w:noWrap/>
            <w:tcMar>
              <w:left w:w="72" w:type="dxa"/>
              <w:right w:w="72" w:type="dxa"/>
            </w:tcMar>
            <w:vAlign w:val="center"/>
            <w:hideMark/>
          </w:tcPr>
          <w:p w14:paraId="42933E75" w14:textId="334C89DA" w:rsidR="008E7E50" w:rsidRPr="0096623E" w:rsidRDefault="008E7E50" w:rsidP="00641283">
            <w:pPr>
              <w:jc w:val="right"/>
              <w:rPr>
                <w:rFonts w:ascii="Times New Roman" w:eastAsia="Times New Roman" w:hAnsi="Times New Roman" w:cs="Times New Roman"/>
              </w:rPr>
            </w:pPr>
            <w:r w:rsidRPr="0096623E">
              <w:rPr>
                <w:rFonts w:ascii="Times New Roman" w:eastAsia="Times New Roman" w:hAnsi="Times New Roman" w:cs="Times New Roman"/>
              </w:rPr>
              <w:t>20,320,000</w:t>
            </w:r>
          </w:p>
        </w:tc>
        <w:tc>
          <w:tcPr>
            <w:tcW w:w="1350" w:type="dxa"/>
            <w:noWrap/>
            <w:tcMar>
              <w:left w:w="72" w:type="dxa"/>
              <w:right w:w="72" w:type="dxa"/>
            </w:tcMar>
            <w:vAlign w:val="center"/>
            <w:hideMark/>
          </w:tcPr>
          <w:p w14:paraId="3125EB44" w14:textId="73CF011D" w:rsidR="008E7E50" w:rsidRPr="0096623E" w:rsidRDefault="008E7E50" w:rsidP="00641283">
            <w:pPr>
              <w:jc w:val="right"/>
              <w:rPr>
                <w:rFonts w:ascii="Times New Roman" w:eastAsia="Times New Roman" w:hAnsi="Times New Roman" w:cs="Times New Roman"/>
              </w:rPr>
            </w:pPr>
            <w:r w:rsidRPr="0096623E">
              <w:rPr>
                <w:rFonts w:ascii="Times New Roman" w:eastAsia="Times New Roman" w:hAnsi="Times New Roman" w:cs="Times New Roman"/>
              </w:rPr>
              <w:t>-</w:t>
            </w:r>
          </w:p>
        </w:tc>
        <w:tc>
          <w:tcPr>
            <w:tcW w:w="1350" w:type="dxa"/>
            <w:gridSpan w:val="2"/>
            <w:noWrap/>
            <w:tcMar>
              <w:left w:w="72" w:type="dxa"/>
              <w:right w:w="72" w:type="dxa"/>
            </w:tcMar>
            <w:vAlign w:val="center"/>
            <w:hideMark/>
          </w:tcPr>
          <w:p w14:paraId="47C81099" w14:textId="0B5B2245" w:rsidR="008E7E50" w:rsidRPr="0096623E" w:rsidRDefault="008E7E50" w:rsidP="00641283">
            <w:pPr>
              <w:jc w:val="right"/>
              <w:rPr>
                <w:rFonts w:ascii="Times New Roman" w:eastAsia="Times New Roman" w:hAnsi="Times New Roman" w:cs="Times New Roman"/>
              </w:rPr>
            </w:pPr>
            <w:r w:rsidRPr="0096623E">
              <w:rPr>
                <w:rFonts w:ascii="Times New Roman" w:eastAsia="Times New Roman" w:hAnsi="Times New Roman" w:cs="Times New Roman"/>
              </w:rPr>
              <w:t>20,320,000</w:t>
            </w:r>
          </w:p>
        </w:tc>
      </w:tr>
      <w:tr w:rsidR="00D65A9C" w:rsidRPr="0096623E" w14:paraId="7B28ED25" w14:textId="77777777" w:rsidTr="00D65A9C">
        <w:trPr>
          <w:gridAfter w:val="2"/>
          <w:wAfter w:w="1350" w:type="dxa"/>
          <w:trHeight w:hRule="exact" w:val="72"/>
          <w:jc w:val="center"/>
        </w:trPr>
        <w:tc>
          <w:tcPr>
            <w:tcW w:w="4230" w:type="dxa"/>
            <w:noWrap/>
            <w:tcMar>
              <w:left w:w="72" w:type="dxa"/>
              <w:right w:w="72" w:type="dxa"/>
            </w:tcMar>
            <w:vAlign w:val="center"/>
          </w:tcPr>
          <w:p w14:paraId="5E03FEA4" w14:textId="77777777" w:rsidR="00D65A9C" w:rsidRPr="0096623E" w:rsidRDefault="00D65A9C" w:rsidP="008E7E50">
            <w:pPr>
              <w:rPr>
                <w:rFonts w:ascii="Times New Roman" w:eastAsia="Times New Roman" w:hAnsi="Times New Roman" w:cs="Times New Roman"/>
              </w:rPr>
            </w:pPr>
          </w:p>
        </w:tc>
        <w:tc>
          <w:tcPr>
            <w:tcW w:w="1440" w:type="dxa"/>
            <w:noWrap/>
            <w:tcMar>
              <w:left w:w="72" w:type="dxa"/>
              <w:right w:w="72" w:type="dxa"/>
            </w:tcMar>
            <w:vAlign w:val="center"/>
          </w:tcPr>
          <w:p w14:paraId="5A4CC7CC" w14:textId="77777777" w:rsidR="00D65A9C" w:rsidRPr="0096623E" w:rsidRDefault="00D65A9C" w:rsidP="00641283">
            <w:pPr>
              <w:jc w:val="right"/>
              <w:rPr>
                <w:rFonts w:ascii="Times New Roman" w:eastAsia="Times New Roman" w:hAnsi="Times New Roman" w:cs="Times New Roman"/>
              </w:rPr>
            </w:pPr>
          </w:p>
        </w:tc>
        <w:tc>
          <w:tcPr>
            <w:tcW w:w="1350" w:type="dxa"/>
            <w:noWrap/>
            <w:tcMar>
              <w:left w:w="72" w:type="dxa"/>
              <w:right w:w="72" w:type="dxa"/>
            </w:tcMar>
            <w:vAlign w:val="center"/>
          </w:tcPr>
          <w:p w14:paraId="4E99BE5E" w14:textId="77777777" w:rsidR="00D65A9C" w:rsidRPr="0096623E" w:rsidRDefault="00D65A9C" w:rsidP="00641283">
            <w:pPr>
              <w:jc w:val="right"/>
              <w:rPr>
                <w:rFonts w:ascii="Times New Roman" w:eastAsia="Times New Roman" w:hAnsi="Times New Roman" w:cs="Times New Roman"/>
              </w:rPr>
            </w:pPr>
          </w:p>
        </w:tc>
      </w:tr>
      <w:tr w:rsidR="008D394B" w:rsidRPr="0096623E" w14:paraId="3268D995" w14:textId="77777777" w:rsidTr="00042BAF">
        <w:trPr>
          <w:gridAfter w:val="2"/>
          <w:wAfter w:w="1350" w:type="dxa"/>
          <w:trHeight w:hRule="exact" w:val="288"/>
          <w:jc w:val="center"/>
        </w:trPr>
        <w:tc>
          <w:tcPr>
            <w:tcW w:w="4230" w:type="dxa"/>
            <w:noWrap/>
            <w:tcMar>
              <w:left w:w="72" w:type="dxa"/>
              <w:right w:w="72" w:type="dxa"/>
            </w:tcMar>
            <w:vAlign w:val="center"/>
            <w:hideMark/>
          </w:tcPr>
          <w:p w14:paraId="496ABACC" w14:textId="747D63B5" w:rsidR="008E7E50" w:rsidRPr="0096623E" w:rsidRDefault="008E7E50" w:rsidP="008E7E50">
            <w:pPr>
              <w:rPr>
                <w:rFonts w:ascii="Times New Roman" w:eastAsia="Times New Roman" w:hAnsi="Times New Roman" w:cs="Times New Roman"/>
              </w:rPr>
            </w:pPr>
            <w:r w:rsidRPr="0096623E">
              <w:rPr>
                <w:rFonts w:ascii="Times New Roman" w:eastAsia="Times New Roman" w:hAnsi="Times New Roman" w:cs="Times New Roman"/>
              </w:rPr>
              <w:t>Less: Accounts Payable (Payments Due)</w:t>
            </w:r>
          </w:p>
        </w:tc>
        <w:tc>
          <w:tcPr>
            <w:tcW w:w="1440" w:type="dxa"/>
            <w:noWrap/>
            <w:tcMar>
              <w:left w:w="72" w:type="dxa"/>
              <w:right w:w="72" w:type="dxa"/>
            </w:tcMar>
            <w:vAlign w:val="center"/>
            <w:hideMark/>
          </w:tcPr>
          <w:p w14:paraId="24C5C49F" w14:textId="77777777" w:rsidR="008E7E50" w:rsidRPr="0096623E" w:rsidRDefault="008E7E50" w:rsidP="00641283">
            <w:pPr>
              <w:jc w:val="right"/>
              <w:rPr>
                <w:rFonts w:ascii="Times New Roman" w:eastAsia="Times New Roman" w:hAnsi="Times New Roman" w:cs="Times New Roman"/>
              </w:rPr>
            </w:pPr>
          </w:p>
        </w:tc>
        <w:tc>
          <w:tcPr>
            <w:tcW w:w="1350" w:type="dxa"/>
            <w:noWrap/>
            <w:tcMar>
              <w:left w:w="72" w:type="dxa"/>
              <w:right w:w="72" w:type="dxa"/>
            </w:tcMar>
            <w:vAlign w:val="center"/>
            <w:hideMark/>
          </w:tcPr>
          <w:p w14:paraId="01235C0B" w14:textId="77777777" w:rsidR="008E7E50" w:rsidRPr="0096623E" w:rsidRDefault="008E7E50" w:rsidP="00641283">
            <w:pPr>
              <w:jc w:val="right"/>
              <w:rPr>
                <w:rFonts w:ascii="Times New Roman" w:eastAsia="Times New Roman" w:hAnsi="Times New Roman" w:cs="Times New Roman"/>
              </w:rPr>
            </w:pPr>
          </w:p>
        </w:tc>
      </w:tr>
      <w:tr w:rsidR="00522AA1" w:rsidRPr="0096623E" w14:paraId="68B4CFF5" w14:textId="77777777" w:rsidTr="00042BAF">
        <w:trPr>
          <w:trHeight w:hRule="exact" w:val="288"/>
          <w:jc w:val="center"/>
        </w:trPr>
        <w:tc>
          <w:tcPr>
            <w:tcW w:w="4230" w:type="dxa"/>
            <w:noWrap/>
            <w:tcMar>
              <w:left w:w="72" w:type="dxa"/>
              <w:right w:w="72" w:type="dxa"/>
            </w:tcMar>
            <w:vAlign w:val="center"/>
            <w:hideMark/>
          </w:tcPr>
          <w:p w14:paraId="7B6FF70D" w14:textId="77777777" w:rsidR="008E7E50" w:rsidRPr="0096623E" w:rsidRDefault="008E7E50" w:rsidP="008E7E50">
            <w:pPr>
              <w:ind w:firstLineChars="200" w:firstLine="440"/>
              <w:rPr>
                <w:rFonts w:ascii="Times New Roman" w:eastAsia="Times New Roman" w:hAnsi="Times New Roman" w:cs="Times New Roman"/>
              </w:rPr>
            </w:pPr>
            <w:r w:rsidRPr="0096623E">
              <w:rPr>
                <w:rFonts w:ascii="Times New Roman" w:eastAsia="Times New Roman" w:hAnsi="Times New Roman" w:cs="Times New Roman"/>
              </w:rPr>
              <w:t>Operating</w:t>
            </w:r>
          </w:p>
        </w:tc>
        <w:tc>
          <w:tcPr>
            <w:tcW w:w="1440" w:type="dxa"/>
            <w:noWrap/>
            <w:tcMar>
              <w:left w:w="72" w:type="dxa"/>
              <w:right w:w="14" w:type="dxa"/>
            </w:tcMar>
            <w:vAlign w:val="center"/>
            <w:hideMark/>
          </w:tcPr>
          <w:p w14:paraId="0444350E" w14:textId="36EFA43B" w:rsidR="008E7E50" w:rsidRPr="0096623E" w:rsidRDefault="008E7E50" w:rsidP="00641283">
            <w:pPr>
              <w:jc w:val="right"/>
              <w:rPr>
                <w:rFonts w:ascii="Times New Roman" w:eastAsia="Times New Roman" w:hAnsi="Times New Roman" w:cs="Times New Roman"/>
              </w:rPr>
            </w:pPr>
            <w:r w:rsidRPr="0096623E">
              <w:rPr>
                <w:rFonts w:ascii="Times New Roman" w:eastAsia="Times New Roman" w:hAnsi="Times New Roman" w:cs="Times New Roman"/>
              </w:rPr>
              <w:t>(4,903,000)</w:t>
            </w:r>
          </w:p>
        </w:tc>
        <w:tc>
          <w:tcPr>
            <w:tcW w:w="1350" w:type="dxa"/>
            <w:noWrap/>
            <w:tcMar>
              <w:left w:w="72" w:type="dxa"/>
              <w:right w:w="14" w:type="dxa"/>
            </w:tcMar>
            <w:vAlign w:val="center"/>
            <w:hideMark/>
          </w:tcPr>
          <w:p w14:paraId="63592963" w14:textId="5A79CC64" w:rsidR="008E7E50" w:rsidRPr="0096623E" w:rsidRDefault="008E7E50" w:rsidP="00641283">
            <w:pPr>
              <w:jc w:val="right"/>
              <w:rPr>
                <w:rFonts w:ascii="Times New Roman" w:eastAsia="Times New Roman" w:hAnsi="Times New Roman" w:cs="Times New Roman"/>
              </w:rPr>
            </w:pPr>
            <w:r w:rsidRPr="0096623E">
              <w:rPr>
                <w:rFonts w:ascii="Times New Roman" w:eastAsia="Times New Roman" w:hAnsi="Times New Roman" w:cs="Times New Roman"/>
              </w:rPr>
              <w:t>(4,903,000)</w:t>
            </w:r>
          </w:p>
        </w:tc>
        <w:tc>
          <w:tcPr>
            <w:tcW w:w="1350" w:type="dxa"/>
            <w:gridSpan w:val="2"/>
            <w:noWrap/>
            <w:tcMar>
              <w:left w:w="72" w:type="dxa"/>
              <w:right w:w="72" w:type="dxa"/>
            </w:tcMar>
            <w:vAlign w:val="center"/>
            <w:hideMark/>
          </w:tcPr>
          <w:p w14:paraId="7BC25145" w14:textId="2511D7C7" w:rsidR="008E7E50" w:rsidRPr="0096623E" w:rsidRDefault="008E7E50" w:rsidP="00641283">
            <w:pPr>
              <w:jc w:val="right"/>
              <w:rPr>
                <w:rFonts w:ascii="Times New Roman" w:eastAsia="Times New Roman" w:hAnsi="Times New Roman" w:cs="Times New Roman"/>
              </w:rPr>
            </w:pPr>
            <w:r w:rsidRPr="0096623E">
              <w:rPr>
                <w:rFonts w:ascii="Times New Roman" w:eastAsia="Times New Roman" w:hAnsi="Times New Roman" w:cs="Times New Roman"/>
              </w:rPr>
              <w:t>-</w:t>
            </w:r>
          </w:p>
        </w:tc>
      </w:tr>
      <w:tr w:rsidR="00522AA1" w:rsidRPr="0096623E" w14:paraId="1F6D5E55" w14:textId="77777777" w:rsidTr="00042BAF">
        <w:trPr>
          <w:trHeight w:hRule="exact" w:val="288"/>
          <w:jc w:val="center"/>
        </w:trPr>
        <w:tc>
          <w:tcPr>
            <w:tcW w:w="4230" w:type="dxa"/>
            <w:noWrap/>
            <w:tcMar>
              <w:left w:w="72" w:type="dxa"/>
              <w:right w:w="72" w:type="dxa"/>
            </w:tcMar>
            <w:vAlign w:val="center"/>
            <w:hideMark/>
          </w:tcPr>
          <w:p w14:paraId="7B9AC8A3" w14:textId="77777777" w:rsidR="008E7E50" w:rsidRPr="0096623E" w:rsidRDefault="008E7E50" w:rsidP="008E7E50">
            <w:pPr>
              <w:ind w:firstLineChars="200" w:firstLine="440"/>
              <w:rPr>
                <w:rFonts w:ascii="Times New Roman" w:eastAsia="Times New Roman" w:hAnsi="Times New Roman" w:cs="Times New Roman"/>
              </w:rPr>
            </w:pPr>
            <w:r w:rsidRPr="0096623E">
              <w:rPr>
                <w:rFonts w:ascii="Times New Roman" w:eastAsia="Times New Roman" w:hAnsi="Times New Roman" w:cs="Times New Roman"/>
              </w:rPr>
              <w:t>CIP</w:t>
            </w:r>
          </w:p>
        </w:tc>
        <w:tc>
          <w:tcPr>
            <w:tcW w:w="1440" w:type="dxa"/>
            <w:noWrap/>
            <w:tcMar>
              <w:left w:w="72" w:type="dxa"/>
              <w:right w:w="14" w:type="dxa"/>
            </w:tcMar>
            <w:vAlign w:val="center"/>
            <w:hideMark/>
          </w:tcPr>
          <w:p w14:paraId="0CB142A0" w14:textId="0BF7BEB1" w:rsidR="008E7E50" w:rsidRPr="0096623E" w:rsidRDefault="008E7E50" w:rsidP="00641283">
            <w:pPr>
              <w:jc w:val="right"/>
              <w:rPr>
                <w:rFonts w:ascii="Times New Roman" w:eastAsia="Times New Roman" w:hAnsi="Times New Roman" w:cs="Times New Roman"/>
              </w:rPr>
            </w:pPr>
            <w:r w:rsidRPr="0096623E">
              <w:rPr>
                <w:rFonts w:ascii="Times New Roman" w:eastAsia="Times New Roman" w:hAnsi="Times New Roman" w:cs="Times New Roman"/>
              </w:rPr>
              <w:t>(429,200)</w:t>
            </w:r>
          </w:p>
        </w:tc>
        <w:tc>
          <w:tcPr>
            <w:tcW w:w="1350" w:type="dxa"/>
            <w:noWrap/>
            <w:tcMar>
              <w:left w:w="72" w:type="dxa"/>
              <w:right w:w="14" w:type="dxa"/>
            </w:tcMar>
            <w:vAlign w:val="center"/>
            <w:hideMark/>
          </w:tcPr>
          <w:p w14:paraId="7A3FA54E" w14:textId="18CFE8D9" w:rsidR="008E7E50" w:rsidRPr="0096623E" w:rsidRDefault="008E7E50" w:rsidP="00641283">
            <w:pPr>
              <w:jc w:val="right"/>
              <w:rPr>
                <w:rFonts w:ascii="Times New Roman" w:eastAsia="Times New Roman" w:hAnsi="Times New Roman" w:cs="Times New Roman"/>
              </w:rPr>
            </w:pPr>
            <w:r w:rsidRPr="0096623E">
              <w:rPr>
                <w:rFonts w:ascii="Times New Roman" w:eastAsia="Times New Roman" w:hAnsi="Times New Roman" w:cs="Times New Roman"/>
              </w:rPr>
              <w:t>(429,200)</w:t>
            </w:r>
          </w:p>
        </w:tc>
        <w:tc>
          <w:tcPr>
            <w:tcW w:w="1350" w:type="dxa"/>
            <w:gridSpan w:val="2"/>
            <w:noWrap/>
            <w:tcMar>
              <w:left w:w="72" w:type="dxa"/>
              <w:right w:w="72" w:type="dxa"/>
            </w:tcMar>
            <w:vAlign w:val="center"/>
            <w:hideMark/>
          </w:tcPr>
          <w:p w14:paraId="3205B13E" w14:textId="31BAAEB7" w:rsidR="008E7E50" w:rsidRPr="0096623E" w:rsidRDefault="008E7E50" w:rsidP="00641283">
            <w:pPr>
              <w:jc w:val="right"/>
              <w:rPr>
                <w:rFonts w:ascii="Times New Roman" w:eastAsia="Times New Roman" w:hAnsi="Times New Roman" w:cs="Times New Roman"/>
              </w:rPr>
            </w:pPr>
            <w:r w:rsidRPr="0096623E">
              <w:rPr>
                <w:rFonts w:ascii="Times New Roman" w:eastAsia="Times New Roman" w:hAnsi="Times New Roman" w:cs="Times New Roman"/>
              </w:rPr>
              <w:t>-</w:t>
            </w:r>
          </w:p>
        </w:tc>
      </w:tr>
      <w:tr w:rsidR="00D65A9C" w:rsidRPr="0096623E" w14:paraId="323CD611" w14:textId="77777777" w:rsidTr="00D65A9C">
        <w:trPr>
          <w:trHeight w:hRule="exact" w:val="72"/>
          <w:jc w:val="center"/>
        </w:trPr>
        <w:tc>
          <w:tcPr>
            <w:tcW w:w="4230" w:type="dxa"/>
            <w:noWrap/>
            <w:tcMar>
              <w:left w:w="72" w:type="dxa"/>
              <w:right w:w="72" w:type="dxa"/>
            </w:tcMar>
            <w:vAlign w:val="center"/>
          </w:tcPr>
          <w:p w14:paraId="7509EF07" w14:textId="77777777" w:rsidR="00D65A9C" w:rsidRPr="0096623E" w:rsidRDefault="00D65A9C" w:rsidP="008E7E50">
            <w:pPr>
              <w:rPr>
                <w:rFonts w:ascii="Times New Roman" w:eastAsia="Times New Roman" w:hAnsi="Times New Roman" w:cs="Times New Roman"/>
              </w:rPr>
            </w:pPr>
          </w:p>
        </w:tc>
        <w:tc>
          <w:tcPr>
            <w:tcW w:w="1440" w:type="dxa"/>
            <w:noWrap/>
            <w:tcMar>
              <w:left w:w="72" w:type="dxa"/>
              <w:right w:w="72" w:type="dxa"/>
            </w:tcMar>
            <w:vAlign w:val="center"/>
          </w:tcPr>
          <w:p w14:paraId="1923C5D3" w14:textId="77777777" w:rsidR="00D65A9C" w:rsidRPr="0096623E" w:rsidRDefault="00D65A9C" w:rsidP="00641283">
            <w:pPr>
              <w:jc w:val="right"/>
              <w:rPr>
                <w:rFonts w:ascii="Times New Roman" w:eastAsia="Times New Roman" w:hAnsi="Times New Roman" w:cs="Times New Roman"/>
              </w:rPr>
            </w:pPr>
          </w:p>
        </w:tc>
        <w:tc>
          <w:tcPr>
            <w:tcW w:w="1350" w:type="dxa"/>
            <w:noWrap/>
            <w:tcMar>
              <w:left w:w="72" w:type="dxa"/>
              <w:right w:w="72" w:type="dxa"/>
            </w:tcMar>
            <w:vAlign w:val="center"/>
          </w:tcPr>
          <w:p w14:paraId="0C68E0E2" w14:textId="77777777" w:rsidR="00D65A9C" w:rsidRPr="0096623E" w:rsidRDefault="00D65A9C" w:rsidP="00641283">
            <w:pPr>
              <w:jc w:val="right"/>
              <w:rPr>
                <w:rFonts w:ascii="Times New Roman" w:eastAsia="Times New Roman" w:hAnsi="Times New Roman" w:cs="Times New Roman"/>
              </w:rPr>
            </w:pPr>
          </w:p>
        </w:tc>
        <w:tc>
          <w:tcPr>
            <w:tcW w:w="1350" w:type="dxa"/>
            <w:gridSpan w:val="2"/>
            <w:noWrap/>
            <w:tcMar>
              <w:left w:w="72" w:type="dxa"/>
              <w:right w:w="72" w:type="dxa"/>
            </w:tcMar>
            <w:vAlign w:val="center"/>
          </w:tcPr>
          <w:p w14:paraId="2E87FE8B" w14:textId="77777777" w:rsidR="00D65A9C" w:rsidRPr="0096623E" w:rsidRDefault="00D65A9C" w:rsidP="00641283">
            <w:pPr>
              <w:jc w:val="right"/>
              <w:rPr>
                <w:rFonts w:ascii="Times New Roman" w:eastAsia="Times New Roman" w:hAnsi="Times New Roman" w:cs="Times New Roman"/>
              </w:rPr>
            </w:pPr>
          </w:p>
        </w:tc>
      </w:tr>
      <w:tr w:rsidR="00522AA1" w:rsidRPr="0096623E" w14:paraId="0CFAD778" w14:textId="77777777" w:rsidTr="00042BAF">
        <w:trPr>
          <w:trHeight w:hRule="exact" w:val="288"/>
          <w:jc w:val="center"/>
        </w:trPr>
        <w:tc>
          <w:tcPr>
            <w:tcW w:w="4230" w:type="dxa"/>
            <w:noWrap/>
            <w:tcMar>
              <w:left w:w="72" w:type="dxa"/>
              <w:right w:w="72" w:type="dxa"/>
            </w:tcMar>
            <w:vAlign w:val="center"/>
            <w:hideMark/>
          </w:tcPr>
          <w:p w14:paraId="41C8AF4E" w14:textId="096716F6" w:rsidR="008E7E50" w:rsidRPr="0096623E" w:rsidRDefault="008E7E50" w:rsidP="008E7E50">
            <w:pPr>
              <w:rPr>
                <w:rFonts w:ascii="Times New Roman" w:eastAsia="Times New Roman" w:hAnsi="Times New Roman" w:cs="Times New Roman"/>
              </w:rPr>
            </w:pPr>
            <w:r w:rsidRPr="0096623E">
              <w:rPr>
                <w:rFonts w:ascii="Times New Roman" w:eastAsia="Times New Roman" w:hAnsi="Times New Roman" w:cs="Times New Roman"/>
              </w:rPr>
              <w:t>Less: Encumbrances</w:t>
            </w:r>
          </w:p>
        </w:tc>
        <w:tc>
          <w:tcPr>
            <w:tcW w:w="1440" w:type="dxa"/>
            <w:noWrap/>
            <w:tcMar>
              <w:left w:w="72" w:type="dxa"/>
              <w:right w:w="72" w:type="dxa"/>
            </w:tcMar>
            <w:vAlign w:val="center"/>
            <w:hideMark/>
          </w:tcPr>
          <w:p w14:paraId="79D086E9" w14:textId="77777777" w:rsidR="008E7E50" w:rsidRPr="0096623E" w:rsidRDefault="008E7E50" w:rsidP="00641283">
            <w:pPr>
              <w:jc w:val="right"/>
              <w:rPr>
                <w:rFonts w:ascii="Times New Roman" w:eastAsia="Times New Roman" w:hAnsi="Times New Roman" w:cs="Times New Roman"/>
              </w:rPr>
            </w:pPr>
          </w:p>
        </w:tc>
        <w:tc>
          <w:tcPr>
            <w:tcW w:w="1350" w:type="dxa"/>
            <w:noWrap/>
            <w:tcMar>
              <w:left w:w="72" w:type="dxa"/>
              <w:right w:w="72" w:type="dxa"/>
            </w:tcMar>
            <w:vAlign w:val="center"/>
            <w:hideMark/>
          </w:tcPr>
          <w:p w14:paraId="29ADD1F1" w14:textId="77777777" w:rsidR="008E7E50" w:rsidRPr="0096623E" w:rsidRDefault="008E7E50" w:rsidP="00641283">
            <w:pPr>
              <w:jc w:val="right"/>
              <w:rPr>
                <w:rFonts w:ascii="Times New Roman" w:eastAsia="Times New Roman" w:hAnsi="Times New Roman" w:cs="Times New Roman"/>
              </w:rPr>
            </w:pPr>
          </w:p>
        </w:tc>
        <w:tc>
          <w:tcPr>
            <w:tcW w:w="1350" w:type="dxa"/>
            <w:gridSpan w:val="2"/>
            <w:noWrap/>
            <w:tcMar>
              <w:left w:w="72" w:type="dxa"/>
              <w:right w:w="72" w:type="dxa"/>
            </w:tcMar>
            <w:vAlign w:val="center"/>
            <w:hideMark/>
          </w:tcPr>
          <w:p w14:paraId="3C1F0475" w14:textId="77777777" w:rsidR="008E7E50" w:rsidRPr="0096623E" w:rsidRDefault="008E7E50" w:rsidP="00641283">
            <w:pPr>
              <w:jc w:val="right"/>
              <w:rPr>
                <w:rFonts w:ascii="Times New Roman" w:eastAsia="Times New Roman" w:hAnsi="Times New Roman" w:cs="Times New Roman"/>
              </w:rPr>
            </w:pPr>
          </w:p>
        </w:tc>
      </w:tr>
      <w:tr w:rsidR="00522AA1" w:rsidRPr="0096623E" w14:paraId="56AF48CF" w14:textId="77777777" w:rsidTr="00042BAF">
        <w:trPr>
          <w:trHeight w:hRule="exact" w:val="288"/>
          <w:jc w:val="center"/>
        </w:trPr>
        <w:tc>
          <w:tcPr>
            <w:tcW w:w="4230" w:type="dxa"/>
            <w:noWrap/>
            <w:tcMar>
              <w:left w:w="72" w:type="dxa"/>
              <w:right w:w="72" w:type="dxa"/>
            </w:tcMar>
            <w:vAlign w:val="center"/>
            <w:hideMark/>
          </w:tcPr>
          <w:p w14:paraId="0E28DDB4" w14:textId="77777777" w:rsidR="008E7E50" w:rsidRPr="0096623E" w:rsidRDefault="008E7E50" w:rsidP="008E7E50">
            <w:pPr>
              <w:ind w:firstLineChars="200" w:firstLine="440"/>
              <w:rPr>
                <w:rFonts w:ascii="Times New Roman" w:eastAsia="Times New Roman" w:hAnsi="Times New Roman" w:cs="Times New Roman"/>
              </w:rPr>
            </w:pPr>
            <w:r w:rsidRPr="0096623E">
              <w:rPr>
                <w:rFonts w:ascii="Times New Roman" w:eastAsia="Times New Roman" w:hAnsi="Times New Roman" w:cs="Times New Roman"/>
              </w:rPr>
              <w:t>Operating</w:t>
            </w:r>
          </w:p>
        </w:tc>
        <w:tc>
          <w:tcPr>
            <w:tcW w:w="1440" w:type="dxa"/>
            <w:noWrap/>
            <w:tcMar>
              <w:left w:w="72" w:type="dxa"/>
              <w:right w:w="14" w:type="dxa"/>
            </w:tcMar>
            <w:vAlign w:val="center"/>
            <w:hideMark/>
          </w:tcPr>
          <w:p w14:paraId="0A88DE5D" w14:textId="69B96980" w:rsidR="008E7E50" w:rsidRPr="0096623E" w:rsidRDefault="008E7E50" w:rsidP="00641283">
            <w:pPr>
              <w:jc w:val="right"/>
              <w:rPr>
                <w:rFonts w:ascii="Times New Roman" w:eastAsia="Times New Roman" w:hAnsi="Times New Roman" w:cs="Times New Roman"/>
              </w:rPr>
            </w:pPr>
            <w:r w:rsidRPr="0096623E">
              <w:rPr>
                <w:rFonts w:ascii="Times New Roman" w:eastAsia="Times New Roman" w:hAnsi="Times New Roman" w:cs="Times New Roman"/>
              </w:rPr>
              <w:t>(1,055,000)</w:t>
            </w:r>
          </w:p>
        </w:tc>
        <w:tc>
          <w:tcPr>
            <w:tcW w:w="1350" w:type="dxa"/>
            <w:noWrap/>
            <w:tcMar>
              <w:left w:w="72" w:type="dxa"/>
              <w:right w:w="14" w:type="dxa"/>
            </w:tcMar>
            <w:vAlign w:val="center"/>
            <w:hideMark/>
          </w:tcPr>
          <w:p w14:paraId="5CCAF012" w14:textId="60397202" w:rsidR="008E7E50" w:rsidRPr="0096623E" w:rsidRDefault="008E7E50" w:rsidP="00641283">
            <w:pPr>
              <w:jc w:val="right"/>
              <w:rPr>
                <w:rFonts w:ascii="Times New Roman" w:eastAsia="Times New Roman" w:hAnsi="Times New Roman" w:cs="Times New Roman"/>
              </w:rPr>
            </w:pPr>
            <w:r w:rsidRPr="0096623E">
              <w:rPr>
                <w:rFonts w:ascii="Times New Roman" w:eastAsia="Times New Roman" w:hAnsi="Times New Roman" w:cs="Times New Roman"/>
              </w:rPr>
              <w:t>(1,055,000)</w:t>
            </w:r>
          </w:p>
        </w:tc>
        <w:tc>
          <w:tcPr>
            <w:tcW w:w="1350" w:type="dxa"/>
            <w:gridSpan w:val="2"/>
            <w:noWrap/>
            <w:tcMar>
              <w:left w:w="72" w:type="dxa"/>
              <w:right w:w="72" w:type="dxa"/>
            </w:tcMar>
            <w:vAlign w:val="center"/>
            <w:hideMark/>
          </w:tcPr>
          <w:p w14:paraId="7C940C78" w14:textId="61CD7666" w:rsidR="008E7E50" w:rsidRPr="0096623E" w:rsidRDefault="008E7E50" w:rsidP="00641283">
            <w:pPr>
              <w:jc w:val="right"/>
              <w:rPr>
                <w:rFonts w:ascii="Times New Roman" w:eastAsia="Times New Roman" w:hAnsi="Times New Roman" w:cs="Times New Roman"/>
              </w:rPr>
            </w:pPr>
            <w:r w:rsidRPr="0096623E">
              <w:rPr>
                <w:rFonts w:ascii="Times New Roman" w:eastAsia="Times New Roman" w:hAnsi="Times New Roman" w:cs="Times New Roman"/>
              </w:rPr>
              <w:t>-</w:t>
            </w:r>
          </w:p>
        </w:tc>
      </w:tr>
      <w:tr w:rsidR="00522AA1" w:rsidRPr="0096623E" w14:paraId="60CD4114" w14:textId="77777777" w:rsidTr="00042BAF">
        <w:trPr>
          <w:trHeight w:hRule="exact" w:val="288"/>
          <w:jc w:val="center"/>
        </w:trPr>
        <w:tc>
          <w:tcPr>
            <w:tcW w:w="4230" w:type="dxa"/>
            <w:noWrap/>
            <w:tcMar>
              <w:left w:w="72" w:type="dxa"/>
              <w:right w:w="72" w:type="dxa"/>
            </w:tcMar>
            <w:vAlign w:val="center"/>
            <w:hideMark/>
          </w:tcPr>
          <w:p w14:paraId="1D8918B9" w14:textId="77777777" w:rsidR="008E7E50" w:rsidRPr="0096623E" w:rsidRDefault="008E7E50" w:rsidP="008E7E50">
            <w:pPr>
              <w:ind w:firstLineChars="200" w:firstLine="440"/>
              <w:rPr>
                <w:rFonts w:ascii="Times New Roman" w:eastAsia="Times New Roman" w:hAnsi="Times New Roman" w:cs="Times New Roman"/>
              </w:rPr>
            </w:pPr>
            <w:r w:rsidRPr="0096623E">
              <w:rPr>
                <w:rFonts w:ascii="Times New Roman" w:eastAsia="Times New Roman" w:hAnsi="Times New Roman" w:cs="Times New Roman"/>
              </w:rPr>
              <w:t>CIP</w:t>
            </w:r>
          </w:p>
        </w:tc>
        <w:tc>
          <w:tcPr>
            <w:tcW w:w="1440" w:type="dxa"/>
            <w:noWrap/>
            <w:tcMar>
              <w:left w:w="72" w:type="dxa"/>
              <w:right w:w="14" w:type="dxa"/>
            </w:tcMar>
            <w:vAlign w:val="center"/>
            <w:hideMark/>
          </w:tcPr>
          <w:p w14:paraId="4BFD13EC" w14:textId="4C0FD57E" w:rsidR="008E7E50" w:rsidRPr="0096623E" w:rsidRDefault="008E7E50" w:rsidP="00641283">
            <w:pPr>
              <w:jc w:val="right"/>
              <w:rPr>
                <w:rFonts w:ascii="Times New Roman" w:eastAsia="Times New Roman" w:hAnsi="Times New Roman" w:cs="Times New Roman"/>
              </w:rPr>
            </w:pPr>
            <w:r w:rsidRPr="0096623E">
              <w:rPr>
                <w:rFonts w:ascii="Times New Roman" w:eastAsia="Times New Roman" w:hAnsi="Times New Roman" w:cs="Times New Roman"/>
              </w:rPr>
              <w:t>(1,289,000)</w:t>
            </w:r>
          </w:p>
        </w:tc>
        <w:tc>
          <w:tcPr>
            <w:tcW w:w="1350" w:type="dxa"/>
            <w:noWrap/>
            <w:tcMar>
              <w:left w:w="72" w:type="dxa"/>
              <w:right w:w="14" w:type="dxa"/>
            </w:tcMar>
            <w:vAlign w:val="center"/>
            <w:hideMark/>
          </w:tcPr>
          <w:p w14:paraId="518E9EF2" w14:textId="3D2A9138" w:rsidR="008E7E50" w:rsidRPr="0096623E" w:rsidRDefault="008E7E50" w:rsidP="00641283">
            <w:pPr>
              <w:jc w:val="right"/>
              <w:rPr>
                <w:rFonts w:ascii="Times New Roman" w:eastAsia="Times New Roman" w:hAnsi="Times New Roman" w:cs="Times New Roman"/>
              </w:rPr>
            </w:pPr>
            <w:r w:rsidRPr="0096623E">
              <w:rPr>
                <w:rFonts w:ascii="Times New Roman" w:eastAsia="Times New Roman" w:hAnsi="Times New Roman" w:cs="Times New Roman"/>
              </w:rPr>
              <w:t>(1,289,000)</w:t>
            </w:r>
          </w:p>
        </w:tc>
        <w:tc>
          <w:tcPr>
            <w:tcW w:w="1350" w:type="dxa"/>
            <w:gridSpan w:val="2"/>
            <w:noWrap/>
            <w:tcMar>
              <w:left w:w="72" w:type="dxa"/>
              <w:right w:w="72" w:type="dxa"/>
            </w:tcMar>
            <w:vAlign w:val="center"/>
            <w:hideMark/>
          </w:tcPr>
          <w:p w14:paraId="7B3FFCAC" w14:textId="224411AE" w:rsidR="008E7E50" w:rsidRPr="0096623E" w:rsidRDefault="008E7E50" w:rsidP="00641283">
            <w:pPr>
              <w:jc w:val="right"/>
              <w:rPr>
                <w:rFonts w:ascii="Times New Roman" w:eastAsia="Times New Roman" w:hAnsi="Times New Roman" w:cs="Times New Roman"/>
              </w:rPr>
            </w:pPr>
            <w:r w:rsidRPr="0096623E">
              <w:rPr>
                <w:rFonts w:ascii="Times New Roman" w:eastAsia="Times New Roman" w:hAnsi="Times New Roman" w:cs="Times New Roman"/>
              </w:rPr>
              <w:t>-</w:t>
            </w:r>
          </w:p>
        </w:tc>
      </w:tr>
      <w:tr w:rsidR="00D65A9C" w:rsidRPr="0096623E" w14:paraId="3CE0A302" w14:textId="77777777" w:rsidTr="00375D84">
        <w:trPr>
          <w:trHeight w:hRule="exact" w:val="72"/>
          <w:jc w:val="center"/>
        </w:trPr>
        <w:tc>
          <w:tcPr>
            <w:tcW w:w="4230" w:type="dxa"/>
            <w:noWrap/>
            <w:tcMar>
              <w:left w:w="72" w:type="dxa"/>
              <w:right w:w="72" w:type="dxa"/>
            </w:tcMar>
            <w:vAlign w:val="center"/>
          </w:tcPr>
          <w:p w14:paraId="4A4BBA6B" w14:textId="77777777" w:rsidR="00D65A9C" w:rsidRPr="0096623E" w:rsidRDefault="00D65A9C" w:rsidP="008E7E50">
            <w:pPr>
              <w:ind w:firstLineChars="200" w:firstLine="440"/>
              <w:rPr>
                <w:rFonts w:ascii="Times New Roman" w:eastAsia="Times New Roman" w:hAnsi="Times New Roman" w:cs="Times New Roman"/>
              </w:rPr>
            </w:pPr>
          </w:p>
        </w:tc>
        <w:tc>
          <w:tcPr>
            <w:tcW w:w="1440" w:type="dxa"/>
            <w:noWrap/>
            <w:tcMar>
              <w:left w:w="72" w:type="dxa"/>
              <w:right w:w="14" w:type="dxa"/>
            </w:tcMar>
            <w:vAlign w:val="center"/>
          </w:tcPr>
          <w:p w14:paraId="563B8664" w14:textId="77777777" w:rsidR="00D65A9C" w:rsidRPr="0096623E" w:rsidRDefault="00D65A9C" w:rsidP="00641283">
            <w:pPr>
              <w:jc w:val="right"/>
              <w:rPr>
                <w:rFonts w:ascii="Times New Roman" w:eastAsia="Times New Roman" w:hAnsi="Times New Roman" w:cs="Times New Roman"/>
              </w:rPr>
            </w:pPr>
          </w:p>
        </w:tc>
        <w:tc>
          <w:tcPr>
            <w:tcW w:w="1350" w:type="dxa"/>
            <w:noWrap/>
            <w:tcMar>
              <w:left w:w="72" w:type="dxa"/>
              <w:right w:w="14" w:type="dxa"/>
            </w:tcMar>
            <w:vAlign w:val="center"/>
          </w:tcPr>
          <w:p w14:paraId="449F9D45" w14:textId="77777777" w:rsidR="00D65A9C" w:rsidRPr="0096623E" w:rsidRDefault="00D65A9C" w:rsidP="00641283">
            <w:pPr>
              <w:jc w:val="right"/>
              <w:rPr>
                <w:rFonts w:ascii="Times New Roman" w:eastAsia="Times New Roman" w:hAnsi="Times New Roman" w:cs="Times New Roman"/>
              </w:rPr>
            </w:pPr>
          </w:p>
        </w:tc>
        <w:tc>
          <w:tcPr>
            <w:tcW w:w="1350" w:type="dxa"/>
            <w:gridSpan w:val="2"/>
            <w:noWrap/>
            <w:tcMar>
              <w:left w:w="72" w:type="dxa"/>
              <w:right w:w="72" w:type="dxa"/>
            </w:tcMar>
            <w:vAlign w:val="center"/>
          </w:tcPr>
          <w:p w14:paraId="3A612BF8" w14:textId="77777777" w:rsidR="00D65A9C" w:rsidRPr="0096623E" w:rsidRDefault="00D65A9C" w:rsidP="00641283">
            <w:pPr>
              <w:jc w:val="right"/>
              <w:rPr>
                <w:rFonts w:ascii="Times New Roman" w:eastAsia="Times New Roman" w:hAnsi="Times New Roman" w:cs="Times New Roman"/>
              </w:rPr>
            </w:pPr>
          </w:p>
        </w:tc>
      </w:tr>
      <w:tr w:rsidR="001C7193" w:rsidRPr="0096623E" w14:paraId="7D4A4F0D" w14:textId="77777777" w:rsidTr="00375D84">
        <w:trPr>
          <w:trHeight w:hRule="exact" w:val="360"/>
          <w:jc w:val="center"/>
        </w:trPr>
        <w:tc>
          <w:tcPr>
            <w:tcW w:w="4230" w:type="dxa"/>
            <w:noWrap/>
            <w:tcMar>
              <w:left w:w="72" w:type="dxa"/>
              <w:right w:w="72" w:type="dxa"/>
            </w:tcMar>
            <w:vAlign w:val="center"/>
            <w:hideMark/>
          </w:tcPr>
          <w:p w14:paraId="3D467A00" w14:textId="77777777" w:rsidR="008E7E50" w:rsidRPr="0096623E" w:rsidRDefault="008E7E50" w:rsidP="008E7E50">
            <w:pPr>
              <w:rPr>
                <w:rFonts w:ascii="Times New Roman" w:eastAsia="Times New Roman" w:hAnsi="Times New Roman" w:cs="Times New Roman"/>
              </w:rPr>
            </w:pPr>
            <w:r w:rsidRPr="0096623E">
              <w:rPr>
                <w:rFonts w:ascii="Times New Roman" w:eastAsia="Times New Roman" w:hAnsi="Times New Roman" w:cs="Times New Roman"/>
              </w:rPr>
              <w:t>Less: CIP Appropriations Carried Forward</w:t>
            </w:r>
          </w:p>
        </w:tc>
        <w:tc>
          <w:tcPr>
            <w:tcW w:w="1440" w:type="dxa"/>
            <w:noWrap/>
            <w:tcMar>
              <w:left w:w="72" w:type="dxa"/>
              <w:right w:w="14" w:type="dxa"/>
            </w:tcMar>
            <w:vAlign w:val="center"/>
            <w:hideMark/>
          </w:tcPr>
          <w:p w14:paraId="02CBB964" w14:textId="1679AC40" w:rsidR="008E7E50" w:rsidRPr="0096623E" w:rsidRDefault="008E7E50" w:rsidP="00641283">
            <w:pPr>
              <w:jc w:val="right"/>
              <w:rPr>
                <w:rFonts w:ascii="Times New Roman" w:eastAsia="Times New Roman" w:hAnsi="Times New Roman" w:cs="Times New Roman"/>
              </w:rPr>
            </w:pPr>
            <w:r w:rsidRPr="0096623E">
              <w:rPr>
                <w:rFonts w:ascii="Times New Roman" w:eastAsia="Times New Roman" w:hAnsi="Times New Roman" w:cs="Times New Roman"/>
              </w:rPr>
              <w:t>(16,280,000)</w:t>
            </w:r>
          </w:p>
        </w:tc>
        <w:tc>
          <w:tcPr>
            <w:tcW w:w="1350" w:type="dxa"/>
            <w:noWrap/>
            <w:tcMar>
              <w:left w:w="72" w:type="dxa"/>
              <w:right w:w="14" w:type="dxa"/>
            </w:tcMar>
            <w:vAlign w:val="center"/>
            <w:hideMark/>
          </w:tcPr>
          <w:p w14:paraId="31EB56EF" w14:textId="3AC2EF5C" w:rsidR="008E7E50" w:rsidRPr="0096623E" w:rsidRDefault="008E7E50" w:rsidP="00641283">
            <w:pPr>
              <w:jc w:val="right"/>
              <w:rPr>
                <w:rFonts w:ascii="Times New Roman" w:eastAsia="Times New Roman" w:hAnsi="Times New Roman" w:cs="Times New Roman"/>
              </w:rPr>
            </w:pPr>
            <w:r w:rsidRPr="0096623E">
              <w:rPr>
                <w:rFonts w:ascii="Times New Roman" w:eastAsia="Times New Roman" w:hAnsi="Times New Roman" w:cs="Times New Roman"/>
              </w:rPr>
              <w:t>(16,280,000)</w:t>
            </w:r>
          </w:p>
        </w:tc>
        <w:tc>
          <w:tcPr>
            <w:tcW w:w="1350" w:type="dxa"/>
            <w:gridSpan w:val="2"/>
            <w:noWrap/>
            <w:tcMar>
              <w:left w:w="72" w:type="dxa"/>
              <w:right w:w="72" w:type="dxa"/>
            </w:tcMar>
            <w:vAlign w:val="center"/>
            <w:hideMark/>
          </w:tcPr>
          <w:p w14:paraId="4B5B0136" w14:textId="7DB9557D" w:rsidR="008E7E50" w:rsidRPr="0096623E" w:rsidRDefault="008E7E50" w:rsidP="00641283">
            <w:pPr>
              <w:jc w:val="right"/>
              <w:rPr>
                <w:rFonts w:ascii="Times New Roman" w:eastAsia="Times New Roman" w:hAnsi="Times New Roman" w:cs="Times New Roman"/>
              </w:rPr>
            </w:pPr>
            <w:r w:rsidRPr="0096623E">
              <w:rPr>
                <w:rFonts w:ascii="Times New Roman" w:eastAsia="Times New Roman" w:hAnsi="Times New Roman" w:cs="Times New Roman"/>
              </w:rPr>
              <w:t>-</w:t>
            </w:r>
          </w:p>
        </w:tc>
      </w:tr>
      <w:tr w:rsidR="00375D84" w:rsidRPr="0096623E" w14:paraId="06B27C24" w14:textId="77777777" w:rsidTr="00375D84">
        <w:trPr>
          <w:trHeight w:hRule="exact" w:val="72"/>
          <w:jc w:val="center"/>
        </w:trPr>
        <w:tc>
          <w:tcPr>
            <w:tcW w:w="4230" w:type="dxa"/>
            <w:tcBorders>
              <w:bottom w:val="single" w:sz="4" w:space="0" w:color="auto"/>
            </w:tcBorders>
            <w:noWrap/>
            <w:tcMar>
              <w:left w:w="72" w:type="dxa"/>
              <w:right w:w="72" w:type="dxa"/>
            </w:tcMar>
            <w:vAlign w:val="center"/>
          </w:tcPr>
          <w:p w14:paraId="3E82BD2F" w14:textId="77777777" w:rsidR="00375D84" w:rsidRPr="0096623E" w:rsidRDefault="00375D84" w:rsidP="008E7E50">
            <w:pPr>
              <w:rPr>
                <w:rFonts w:ascii="Times New Roman" w:eastAsia="Times New Roman" w:hAnsi="Times New Roman" w:cs="Times New Roman"/>
              </w:rPr>
            </w:pPr>
          </w:p>
        </w:tc>
        <w:tc>
          <w:tcPr>
            <w:tcW w:w="1440" w:type="dxa"/>
            <w:tcBorders>
              <w:bottom w:val="single" w:sz="4" w:space="0" w:color="auto"/>
            </w:tcBorders>
            <w:noWrap/>
            <w:tcMar>
              <w:left w:w="72" w:type="dxa"/>
              <w:right w:w="14" w:type="dxa"/>
            </w:tcMar>
            <w:vAlign w:val="center"/>
          </w:tcPr>
          <w:p w14:paraId="38A097E1" w14:textId="77777777" w:rsidR="00375D84" w:rsidRPr="0096623E" w:rsidRDefault="00375D84" w:rsidP="00641283">
            <w:pPr>
              <w:jc w:val="right"/>
              <w:rPr>
                <w:rFonts w:ascii="Times New Roman" w:eastAsia="Times New Roman" w:hAnsi="Times New Roman" w:cs="Times New Roman"/>
              </w:rPr>
            </w:pPr>
          </w:p>
        </w:tc>
        <w:tc>
          <w:tcPr>
            <w:tcW w:w="1350" w:type="dxa"/>
            <w:tcBorders>
              <w:bottom w:val="single" w:sz="4" w:space="0" w:color="auto"/>
            </w:tcBorders>
            <w:noWrap/>
            <w:tcMar>
              <w:left w:w="72" w:type="dxa"/>
              <w:right w:w="14" w:type="dxa"/>
            </w:tcMar>
            <w:vAlign w:val="center"/>
          </w:tcPr>
          <w:p w14:paraId="03EF6A7C" w14:textId="77777777" w:rsidR="00375D84" w:rsidRPr="0096623E" w:rsidRDefault="00375D84" w:rsidP="00641283">
            <w:pPr>
              <w:jc w:val="right"/>
              <w:rPr>
                <w:rFonts w:ascii="Times New Roman" w:eastAsia="Times New Roman" w:hAnsi="Times New Roman" w:cs="Times New Roman"/>
              </w:rPr>
            </w:pPr>
          </w:p>
        </w:tc>
        <w:tc>
          <w:tcPr>
            <w:tcW w:w="1350" w:type="dxa"/>
            <w:gridSpan w:val="2"/>
            <w:tcBorders>
              <w:bottom w:val="single" w:sz="4" w:space="0" w:color="auto"/>
            </w:tcBorders>
            <w:noWrap/>
            <w:tcMar>
              <w:left w:w="72" w:type="dxa"/>
              <w:right w:w="72" w:type="dxa"/>
            </w:tcMar>
            <w:vAlign w:val="center"/>
          </w:tcPr>
          <w:p w14:paraId="12D4BF10" w14:textId="77777777" w:rsidR="00375D84" w:rsidRPr="0096623E" w:rsidRDefault="00375D84" w:rsidP="00641283">
            <w:pPr>
              <w:jc w:val="right"/>
              <w:rPr>
                <w:rFonts w:ascii="Times New Roman" w:eastAsia="Times New Roman" w:hAnsi="Times New Roman" w:cs="Times New Roman"/>
              </w:rPr>
            </w:pPr>
          </w:p>
        </w:tc>
      </w:tr>
      <w:tr w:rsidR="00522AA1" w:rsidRPr="0096623E" w14:paraId="16B682B3" w14:textId="77777777" w:rsidTr="000C2799">
        <w:trPr>
          <w:trHeight w:hRule="exact" w:val="403"/>
          <w:jc w:val="center"/>
        </w:trPr>
        <w:tc>
          <w:tcPr>
            <w:tcW w:w="4230" w:type="dxa"/>
            <w:tcBorders>
              <w:top w:val="single" w:sz="4" w:space="0" w:color="auto"/>
            </w:tcBorders>
            <w:noWrap/>
            <w:tcMar>
              <w:left w:w="72" w:type="dxa"/>
              <w:right w:w="72" w:type="dxa"/>
            </w:tcMar>
            <w:vAlign w:val="center"/>
            <w:hideMark/>
          </w:tcPr>
          <w:p w14:paraId="26C7AF25" w14:textId="5EE1B4AF" w:rsidR="008E7E50" w:rsidRPr="0096623E" w:rsidRDefault="008E7E50" w:rsidP="008E7E50">
            <w:pPr>
              <w:rPr>
                <w:rFonts w:ascii="Times New Roman" w:eastAsia="Times New Roman" w:hAnsi="Times New Roman" w:cs="Times New Roman"/>
              </w:rPr>
            </w:pPr>
            <w:r w:rsidRPr="0096623E">
              <w:rPr>
                <w:rFonts w:ascii="Times New Roman" w:eastAsia="Times New Roman" w:hAnsi="Times New Roman" w:cs="Times New Roman"/>
              </w:rPr>
              <w:t xml:space="preserve">Spendable Fund Balance, </w:t>
            </w:r>
            <w:r w:rsidR="00B172F5" w:rsidRPr="0096623E">
              <w:rPr>
                <w:rFonts w:ascii="Times New Roman" w:eastAsia="Times New Roman" w:hAnsi="Times New Roman" w:cs="Times New Roman"/>
              </w:rPr>
              <w:t xml:space="preserve">as of </w:t>
            </w:r>
            <w:r w:rsidRPr="0096623E">
              <w:rPr>
                <w:rFonts w:ascii="Times New Roman" w:eastAsia="Times New Roman" w:hAnsi="Times New Roman" w:cs="Times New Roman"/>
              </w:rPr>
              <w:t>June 30, 2021</w:t>
            </w:r>
          </w:p>
        </w:tc>
        <w:tc>
          <w:tcPr>
            <w:tcW w:w="1440" w:type="dxa"/>
            <w:tcBorders>
              <w:top w:val="single" w:sz="4" w:space="0" w:color="auto"/>
              <w:bottom w:val="double" w:sz="4" w:space="0" w:color="auto"/>
            </w:tcBorders>
            <w:noWrap/>
            <w:tcMar>
              <w:left w:w="72" w:type="dxa"/>
              <w:right w:w="72" w:type="dxa"/>
            </w:tcMar>
            <w:vAlign w:val="center"/>
            <w:hideMark/>
          </w:tcPr>
          <w:p w14:paraId="16C36D40" w14:textId="0B28BBDA" w:rsidR="008E7E50" w:rsidRPr="0096623E" w:rsidRDefault="008E7E50" w:rsidP="00641283">
            <w:pPr>
              <w:jc w:val="right"/>
              <w:rPr>
                <w:rFonts w:ascii="Times New Roman" w:eastAsia="Times New Roman" w:hAnsi="Times New Roman" w:cs="Times New Roman"/>
              </w:rPr>
            </w:pPr>
            <w:r w:rsidRPr="0096623E">
              <w:rPr>
                <w:rFonts w:ascii="Times New Roman" w:eastAsia="Times New Roman" w:hAnsi="Times New Roman" w:cs="Times New Roman"/>
              </w:rPr>
              <w:t>$38,944,800</w:t>
            </w:r>
          </w:p>
        </w:tc>
        <w:tc>
          <w:tcPr>
            <w:tcW w:w="1350" w:type="dxa"/>
            <w:tcBorders>
              <w:top w:val="single" w:sz="4" w:space="0" w:color="auto"/>
              <w:bottom w:val="double" w:sz="4" w:space="0" w:color="auto"/>
            </w:tcBorders>
            <w:noWrap/>
            <w:tcMar>
              <w:left w:w="72" w:type="dxa"/>
              <w:right w:w="72" w:type="dxa"/>
            </w:tcMar>
            <w:vAlign w:val="center"/>
            <w:hideMark/>
          </w:tcPr>
          <w:p w14:paraId="3F153AFA" w14:textId="34BB5B62" w:rsidR="008E7E50" w:rsidRPr="0096623E" w:rsidRDefault="008E7E50" w:rsidP="00641283">
            <w:pPr>
              <w:jc w:val="right"/>
              <w:rPr>
                <w:rFonts w:ascii="Times New Roman" w:eastAsia="Times New Roman" w:hAnsi="Times New Roman" w:cs="Times New Roman"/>
              </w:rPr>
            </w:pPr>
            <w:r w:rsidRPr="0096623E">
              <w:rPr>
                <w:rFonts w:ascii="Times New Roman" w:eastAsia="Times New Roman" w:hAnsi="Times New Roman" w:cs="Times New Roman"/>
              </w:rPr>
              <w:t>$18,624,800</w:t>
            </w:r>
          </w:p>
        </w:tc>
        <w:tc>
          <w:tcPr>
            <w:tcW w:w="1350" w:type="dxa"/>
            <w:gridSpan w:val="2"/>
            <w:tcBorders>
              <w:top w:val="single" w:sz="4" w:space="0" w:color="auto"/>
              <w:bottom w:val="double" w:sz="4" w:space="0" w:color="auto"/>
            </w:tcBorders>
            <w:noWrap/>
            <w:tcMar>
              <w:left w:w="72" w:type="dxa"/>
              <w:right w:w="72" w:type="dxa"/>
            </w:tcMar>
            <w:vAlign w:val="center"/>
            <w:hideMark/>
          </w:tcPr>
          <w:p w14:paraId="7008A533" w14:textId="12AD997E" w:rsidR="008E7E50" w:rsidRPr="0096623E" w:rsidRDefault="008E7E50" w:rsidP="00641283">
            <w:pPr>
              <w:jc w:val="right"/>
              <w:rPr>
                <w:rFonts w:ascii="Times New Roman" w:eastAsia="Times New Roman" w:hAnsi="Times New Roman" w:cs="Times New Roman"/>
              </w:rPr>
            </w:pPr>
            <w:r w:rsidRPr="0096623E">
              <w:rPr>
                <w:rFonts w:ascii="Times New Roman" w:eastAsia="Times New Roman" w:hAnsi="Times New Roman" w:cs="Times New Roman"/>
              </w:rPr>
              <w:t>$20,320,000</w:t>
            </w:r>
          </w:p>
        </w:tc>
      </w:tr>
    </w:tbl>
    <w:bookmarkEnd w:id="0"/>
    <w:p w14:paraId="378E5671" w14:textId="00562BA4" w:rsidR="00C92BB8" w:rsidRDefault="00312F42"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lastRenderedPageBreak/>
        <w:t>Although the inclusion of</w:t>
      </w:r>
      <w:r w:rsidR="00B41B7F">
        <w:rPr>
          <w:rFonts w:ascii="Times New Roman" w:hAnsi="Times New Roman" w:cs="Times New Roman"/>
          <w:iCs/>
          <w:sz w:val="24"/>
          <w:szCs w:val="24"/>
        </w:rPr>
        <w:t xml:space="preserve"> the most recent fiscal year’s</w:t>
      </w:r>
      <w:r>
        <w:rPr>
          <w:rFonts w:ascii="Times New Roman" w:hAnsi="Times New Roman" w:cs="Times New Roman"/>
          <w:iCs/>
          <w:sz w:val="24"/>
          <w:szCs w:val="24"/>
        </w:rPr>
        <w:t xml:space="preserve"> accrued revenues has more than doubled the </w:t>
      </w:r>
      <w:r w:rsidR="00B41B7F">
        <w:rPr>
          <w:rFonts w:ascii="Times New Roman" w:hAnsi="Times New Roman" w:cs="Times New Roman"/>
          <w:iCs/>
          <w:sz w:val="24"/>
          <w:szCs w:val="24"/>
        </w:rPr>
        <w:t xml:space="preserve">calculated spendable fund balance for the current fiscal year, the </w:t>
      </w:r>
      <w:r w:rsidR="001C4458">
        <w:rPr>
          <w:rFonts w:ascii="Times New Roman" w:hAnsi="Times New Roman" w:cs="Times New Roman"/>
          <w:iCs/>
          <w:sz w:val="24"/>
          <w:szCs w:val="24"/>
        </w:rPr>
        <w:t>calculated balance would have been significantly higher</w:t>
      </w:r>
      <w:r>
        <w:rPr>
          <w:rFonts w:ascii="Times New Roman" w:hAnsi="Times New Roman" w:cs="Times New Roman"/>
          <w:iCs/>
          <w:sz w:val="24"/>
          <w:szCs w:val="24"/>
        </w:rPr>
        <w:t xml:space="preserve"> </w:t>
      </w:r>
      <w:r w:rsidR="00E85D37">
        <w:rPr>
          <w:rFonts w:ascii="Times New Roman" w:hAnsi="Times New Roman" w:cs="Times New Roman"/>
          <w:iCs/>
          <w:sz w:val="24"/>
          <w:szCs w:val="24"/>
        </w:rPr>
        <w:t xml:space="preserve">than in previous years </w:t>
      </w:r>
      <w:r>
        <w:rPr>
          <w:rFonts w:ascii="Times New Roman" w:hAnsi="Times New Roman" w:cs="Times New Roman"/>
          <w:iCs/>
          <w:sz w:val="24"/>
          <w:szCs w:val="24"/>
        </w:rPr>
        <w:t>using the previous methodology</w:t>
      </w:r>
      <w:r w:rsidR="008138DF">
        <w:rPr>
          <w:rFonts w:ascii="Times New Roman" w:hAnsi="Times New Roman" w:cs="Times New Roman"/>
          <w:iCs/>
          <w:sz w:val="24"/>
          <w:szCs w:val="24"/>
        </w:rPr>
        <w:t xml:space="preserve">.  Fiscal Year 2021 revenues, especially sales-related taxes, significantly outperformed expectations, and substantial cost savings </w:t>
      </w:r>
      <w:r w:rsidR="004E73FF">
        <w:rPr>
          <w:rFonts w:ascii="Times New Roman" w:hAnsi="Times New Roman" w:cs="Times New Roman"/>
          <w:iCs/>
          <w:sz w:val="24"/>
          <w:szCs w:val="24"/>
        </w:rPr>
        <w:t xml:space="preserve">were realized in </w:t>
      </w:r>
      <w:r w:rsidR="00891D30">
        <w:rPr>
          <w:rFonts w:ascii="Times New Roman" w:hAnsi="Times New Roman" w:cs="Times New Roman"/>
          <w:iCs/>
          <w:sz w:val="24"/>
          <w:szCs w:val="24"/>
        </w:rPr>
        <w:t>numerous</w:t>
      </w:r>
      <w:r w:rsidR="001C4458">
        <w:rPr>
          <w:rFonts w:ascii="Times New Roman" w:hAnsi="Times New Roman" w:cs="Times New Roman"/>
          <w:iCs/>
          <w:sz w:val="24"/>
          <w:szCs w:val="24"/>
        </w:rPr>
        <w:t xml:space="preserve"> </w:t>
      </w:r>
      <w:r w:rsidR="004E73FF">
        <w:rPr>
          <w:rFonts w:ascii="Times New Roman" w:hAnsi="Times New Roman" w:cs="Times New Roman"/>
          <w:iCs/>
          <w:sz w:val="24"/>
          <w:szCs w:val="24"/>
        </w:rPr>
        <w:t xml:space="preserve">expenditure </w:t>
      </w:r>
      <w:r w:rsidR="00891D30">
        <w:rPr>
          <w:rFonts w:ascii="Times New Roman" w:hAnsi="Times New Roman" w:cs="Times New Roman"/>
          <w:iCs/>
          <w:sz w:val="24"/>
          <w:szCs w:val="24"/>
        </w:rPr>
        <w:t xml:space="preserve">accounts, </w:t>
      </w:r>
      <w:r w:rsidR="004E73FF">
        <w:rPr>
          <w:rFonts w:ascii="Times New Roman" w:hAnsi="Times New Roman" w:cs="Times New Roman"/>
          <w:iCs/>
          <w:sz w:val="24"/>
          <w:szCs w:val="24"/>
        </w:rPr>
        <w:t>particularly</w:t>
      </w:r>
      <w:r w:rsidR="00891D30">
        <w:rPr>
          <w:rFonts w:ascii="Times New Roman" w:hAnsi="Times New Roman" w:cs="Times New Roman"/>
          <w:iCs/>
          <w:sz w:val="24"/>
          <w:szCs w:val="24"/>
        </w:rPr>
        <w:t xml:space="preserve"> those in the “Salaries &amp; Benefits” category</w:t>
      </w:r>
      <w:r>
        <w:rPr>
          <w:rFonts w:ascii="Times New Roman" w:hAnsi="Times New Roman" w:cs="Times New Roman"/>
          <w:iCs/>
          <w:sz w:val="24"/>
          <w:szCs w:val="24"/>
        </w:rPr>
        <w:t>.</w:t>
      </w:r>
      <w:r w:rsidR="004E73FF">
        <w:rPr>
          <w:rFonts w:ascii="Times New Roman" w:hAnsi="Times New Roman" w:cs="Times New Roman"/>
          <w:iCs/>
          <w:sz w:val="24"/>
          <w:szCs w:val="24"/>
        </w:rPr>
        <w:t xml:space="preserve">  As shown in the table above, th</w:t>
      </w:r>
      <w:r w:rsidR="007A7ECF">
        <w:rPr>
          <w:rFonts w:ascii="Times New Roman" w:hAnsi="Times New Roman" w:cs="Times New Roman"/>
          <w:iCs/>
          <w:sz w:val="24"/>
          <w:szCs w:val="24"/>
        </w:rPr>
        <w:t xml:space="preserve">e Fiscal Year 2022 </w:t>
      </w:r>
      <w:r w:rsidR="004E73FF">
        <w:rPr>
          <w:rFonts w:ascii="Times New Roman" w:hAnsi="Times New Roman" w:cs="Times New Roman"/>
          <w:iCs/>
          <w:sz w:val="24"/>
          <w:szCs w:val="24"/>
        </w:rPr>
        <w:t>spendable find balance, if calculated without accrued revenues, would have been</w:t>
      </w:r>
      <w:r w:rsidR="007A7ECF">
        <w:rPr>
          <w:rFonts w:ascii="Times New Roman" w:hAnsi="Times New Roman" w:cs="Times New Roman"/>
          <w:iCs/>
          <w:sz w:val="24"/>
          <w:szCs w:val="24"/>
        </w:rPr>
        <w:t xml:space="preserve"> approximately reported as $18.6M, compared to </w:t>
      </w:r>
      <w:r w:rsidR="007A7ECF" w:rsidRPr="00556252">
        <w:rPr>
          <w:rFonts w:ascii="Times New Roman" w:hAnsi="Times New Roman" w:cs="Times New Roman"/>
          <w:iCs/>
          <w:sz w:val="24"/>
          <w:szCs w:val="24"/>
        </w:rPr>
        <w:t>$7.9M</w:t>
      </w:r>
      <w:r w:rsidR="00B95FA2" w:rsidRPr="00B95FA2">
        <w:rPr>
          <w:rFonts w:ascii="Times New Roman" w:hAnsi="Times New Roman" w:cs="Times New Roman"/>
          <w:iCs/>
          <w:sz w:val="24"/>
          <w:szCs w:val="24"/>
        </w:rPr>
        <w:t xml:space="preserve"> </w:t>
      </w:r>
      <w:r w:rsidR="007A7ECF" w:rsidRPr="00B95FA2">
        <w:rPr>
          <w:rFonts w:ascii="Times New Roman" w:hAnsi="Times New Roman" w:cs="Times New Roman"/>
          <w:iCs/>
          <w:sz w:val="24"/>
          <w:szCs w:val="24"/>
        </w:rPr>
        <w:t>for Fiscal Year 2021.</w:t>
      </w:r>
    </w:p>
    <w:p w14:paraId="19093716" w14:textId="77777777" w:rsidR="003A78DE" w:rsidRDefault="003A78DE" w:rsidP="00E130E8">
      <w:pPr>
        <w:spacing w:after="0" w:line="240" w:lineRule="auto"/>
        <w:jc w:val="both"/>
        <w:rPr>
          <w:rFonts w:ascii="Times New Roman" w:hAnsi="Times New Roman" w:cs="Times New Roman"/>
          <w:iCs/>
          <w:sz w:val="24"/>
          <w:szCs w:val="24"/>
        </w:rPr>
      </w:pPr>
    </w:p>
    <w:p w14:paraId="2F4DB4F7"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5324349B" w14:textId="77777777" w:rsidR="00DD0FAB" w:rsidRPr="00C927FD" w:rsidRDefault="00DD0FAB" w:rsidP="00E130E8">
      <w:pPr>
        <w:spacing w:after="0" w:line="240" w:lineRule="auto"/>
        <w:jc w:val="both"/>
        <w:rPr>
          <w:rFonts w:ascii="Times New Roman" w:hAnsi="Times New Roman" w:cs="Times New Roman"/>
          <w:iCs/>
          <w:sz w:val="24"/>
          <w:szCs w:val="24"/>
        </w:rPr>
      </w:pPr>
    </w:p>
    <w:p w14:paraId="6BBBA013" w14:textId="53DE7489" w:rsidR="00DD0FAB" w:rsidRPr="00C927FD" w:rsidRDefault="00DD0FAB" w:rsidP="00C927FD">
      <w:pPr>
        <w:spacing w:after="0" w:line="240" w:lineRule="auto"/>
        <w:jc w:val="both"/>
        <w:rPr>
          <w:rFonts w:ascii="Times New Roman" w:eastAsia="Times New Roman" w:hAnsi="Times New Roman" w:cs="Times New Roman"/>
          <w:iCs/>
          <w:color w:val="000000"/>
          <w:sz w:val="24"/>
          <w:szCs w:val="24"/>
          <w:vertAlign w:val="subscript"/>
        </w:rPr>
      </w:pPr>
      <w:r w:rsidRPr="00C927FD">
        <w:rPr>
          <w:rFonts w:ascii="Times New Roman" w:eastAsia="Times New Roman" w:hAnsi="Times New Roman" w:cs="Times New Roman"/>
          <w:b/>
          <w:bCs/>
          <w:iCs/>
          <w:color w:val="000000"/>
          <w:sz w:val="24"/>
          <w:szCs w:val="24"/>
        </w:rPr>
        <w:t>Not a Project</w:t>
      </w:r>
      <w:r w:rsidRPr="00C927FD">
        <w:rPr>
          <w:rFonts w:ascii="Times New Roman" w:eastAsia="Times New Roman" w:hAnsi="Times New Roman" w:cs="Times New Roman"/>
          <w:iCs/>
          <w:color w:val="000000"/>
          <w:sz w:val="24"/>
          <w:szCs w:val="24"/>
        </w:rPr>
        <w:t>.  The City of Salinas has determined that the proposed action is not a project as defined by the California Environmental Quality Act (CEQA) (CEQA Guidelines Section 15378).</w:t>
      </w:r>
    </w:p>
    <w:p w14:paraId="17F8E913" w14:textId="77777777" w:rsidR="00DD0FAB" w:rsidRPr="00C927FD" w:rsidRDefault="00DD0FAB" w:rsidP="00E130E8">
      <w:pPr>
        <w:spacing w:after="0" w:line="240" w:lineRule="auto"/>
        <w:jc w:val="both"/>
        <w:rPr>
          <w:rFonts w:ascii="Times New Roman" w:hAnsi="Times New Roman" w:cs="Times New Roman"/>
          <w:iCs/>
          <w:sz w:val="24"/>
          <w:szCs w:val="24"/>
        </w:rPr>
      </w:pPr>
    </w:p>
    <w:p w14:paraId="60A0F6EB" w14:textId="77777777"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1A2D7D13" w14:textId="77777777" w:rsidR="00DE05E0" w:rsidRPr="002D7B9D" w:rsidRDefault="00DE05E0" w:rsidP="00E130E8">
      <w:pPr>
        <w:spacing w:after="0" w:line="240" w:lineRule="auto"/>
        <w:jc w:val="both"/>
        <w:rPr>
          <w:rFonts w:ascii="Times New Roman" w:hAnsi="Times New Roman" w:cs="Times New Roman"/>
          <w:sz w:val="24"/>
          <w:szCs w:val="24"/>
        </w:rPr>
      </w:pPr>
    </w:p>
    <w:p w14:paraId="5E24045D" w14:textId="118A51E4" w:rsidR="00080912" w:rsidRDefault="00556252" w:rsidP="00E130E8">
      <w:pPr>
        <w:spacing w:before="31" w:after="0" w:line="240" w:lineRule="auto"/>
        <w:jc w:val="both"/>
        <w:rPr>
          <w:rFonts w:ascii="Times New Roman" w:hAnsi="Times New Roman" w:cs="Times New Roman"/>
          <w:sz w:val="24"/>
          <w:szCs w:val="24"/>
        </w:rPr>
      </w:pPr>
      <w:bookmarkStart w:id="1" w:name="_Hlk92200550"/>
      <w:r w:rsidRPr="00E924B9">
        <w:rPr>
          <w:rFonts w:ascii="Times New Roman" w:hAnsi="Times New Roman" w:cs="Times New Roman"/>
          <w:sz w:val="24"/>
          <w:szCs w:val="24"/>
        </w:rPr>
        <w:t xml:space="preserve">Other than changing </w:t>
      </w:r>
      <w:r w:rsidRPr="00A14371">
        <w:rPr>
          <w:rFonts w:ascii="Times New Roman" w:hAnsi="Times New Roman" w:cs="Times New Roman"/>
          <w:sz w:val="24"/>
          <w:szCs w:val="24"/>
        </w:rPr>
        <w:t>eliminating the one-year delay of the recognition of accrued revenues, t</w:t>
      </w:r>
      <w:r w:rsidRPr="00E924B9">
        <w:rPr>
          <w:rFonts w:ascii="Times New Roman" w:hAnsi="Times New Roman" w:cs="Times New Roman"/>
          <w:sz w:val="24"/>
          <w:szCs w:val="24"/>
        </w:rPr>
        <w:t>he change in the method used to calculate spendable fund balance has no fiscal impact.</w:t>
      </w:r>
      <w:bookmarkEnd w:id="1"/>
      <w:r w:rsidRPr="00E924B9">
        <w:rPr>
          <w:rFonts w:ascii="Times New Roman" w:hAnsi="Times New Roman" w:cs="Times New Roman"/>
          <w:sz w:val="24"/>
          <w:szCs w:val="24"/>
        </w:rPr>
        <w:t xml:space="preserve">  </w:t>
      </w:r>
      <w:r w:rsidR="002D7B9D" w:rsidRPr="00125437">
        <w:rPr>
          <w:rFonts w:ascii="Times New Roman" w:hAnsi="Times New Roman" w:cs="Times New Roman"/>
          <w:sz w:val="24"/>
          <w:szCs w:val="24"/>
        </w:rPr>
        <w:t>As explained above, th</w:t>
      </w:r>
      <w:r w:rsidR="00125437">
        <w:rPr>
          <w:rFonts w:ascii="Times New Roman" w:hAnsi="Times New Roman" w:cs="Times New Roman"/>
          <w:sz w:val="24"/>
          <w:szCs w:val="24"/>
        </w:rPr>
        <w:t>e</w:t>
      </w:r>
      <w:r w:rsidR="00BA26CF">
        <w:rPr>
          <w:rFonts w:ascii="Times New Roman" w:hAnsi="Times New Roman" w:cs="Times New Roman"/>
          <w:sz w:val="24"/>
          <w:szCs w:val="24"/>
        </w:rPr>
        <w:t xml:space="preserve"> difference resulting from the change in the method used to calculat</w:t>
      </w:r>
      <w:r w:rsidR="00B62A1A">
        <w:rPr>
          <w:rFonts w:ascii="Times New Roman" w:hAnsi="Times New Roman" w:cs="Times New Roman"/>
          <w:sz w:val="24"/>
          <w:szCs w:val="24"/>
        </w:rPr>
        <w:t>e</w:t>
      </w:r>
      <w:r w:rsidR="00BA26CF">
        <w:rPr>
          <w:rFonts w:ascii="Times New Roman" w:hAnsi="Times New Roman" w:cs="Times New Roman"/>
          <w:sz w:val="24"/>
          <w:szCs w:val="24"/>
        </w:rPr>
        <w:t xml:space="preserve"> spendable fund balance</w:t>
      </w:r>
      <w:r w:rsidR="002D7B9D" w:rsidRPr="00125437">
        <w:rPr>
          <w:rFonts w:ascii="Times New Roman" w:hAnsi="Times New Roman" w:cs="Times New Roman"/>
          <w:sz w:val="24"/>
          <w:szCs w:val="24"/>
        </w:rPr>
        <w:t xml:space="preserve"> i</w:t>
      </w:r>
      <w:r w:rsidR="002D7B9D" w:rsidRPr="002D7B9D">
        <w:rPr>
          <w:rFonts w:ascii="Times New Roman" w:hAnsi="Times New Roman" w:cs="Times New Roman"/>
          <w:sz w:val="24"/>
          <w:szCs w:val="24"/>
        </w:rPr>
        <w:t xml:space="preserve">s not “new” money.  It is the result of the inclusion of accrued revenues for the previous </w:t>
      </w:r>
      <w:r w:rsidR="002D7B9D" w:rsidRPr="002D7B9D">
        <w:rPr>
          <w:rFonts w:ascii="Times New Roman" w:hAnsi="Times New Roman" w:cs="Times New Roman"/>
          <w:sz w:val="24"/>
          <w:szCs w:val="24"/>
          <w:u w:val="single"/>
        </w:rPr>
        <w:t>two</w:t>
      </w:r>
      <w:r w:rsidR="002D7B9D" w:rsidRPr="002D7B9D">
        <w:rPr>
          <w:rFonts w:ascii="Times New Roman" w:hAnsi="Times New Roman" w:cs="Times New Roman"/>
          <w:sz w:val="24"/>
          <w:szCs w:val="24"/>
        </w:rPr>
        <w:t xml:space="preserve"> fiscal years as part of the transition to a new, more consistent formula which accounts for accrued revenues for the fiscal year immediately succeeding the fiscal year to which they are attributable, rather than for the following fiscal year.  And spendable fund balance reported will normalize for future years.</w:t>
      </w:r>
    </w:p>
    <w:p w14:paraId="5422A30D" w14:textId="49AD4736" w:rsidR="007F565C" w:rsidRDefault="007F565C" w:rsidP="00E130E8">
      <w:pPr>
        <w:spacing w:after="0" w:line="240" w:lineRule="auto"/>
        <w:jc w:val="both"/>
        <w:rPr>
          <w:rFonts w:ascii="Times New Roman" w:hAnsi="Times New Roman" w:cs="Times New Roman"/>
          <w:sz w:val="24"/>
          <w:szCs w:val="24"/>
        </w:rPr>
      </w:pPr>
    </w:p>
    <w:sectPr w:rsidR="007F565C" w:rsidSect="0044154D">
      <w:footerReference w:type="default" r:id="rId8"/>
      <w:headerReference w:type="first" r:id="rId9"/>
      <w:footerReference w:type="first" r:id="rId10"/>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B1F17D" w14:textId="77777777" w:rsidR="008F487D" w:rsidRDefault="008F487D" w:rsidP="00944716">
      <w:pPr>
        <w:spacing w:after="0" w:line="240" w:lineRule="auto"/>
      </w:pPr>
      <w:r>
        <w:separator/>
      </w:r>
    </w:p>
  </w:endnote>
  <w:endnote w:type="continuationSeparator" w:id="0">
    <w:p w14:paraId="66179C87" w14:textId="77777777" w:rsidR="008F487D" w:rsidRDefault="008F487D"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2146225"/>
      <w:docPartObj>
        <w:docPartGallery w:val="Page Numbers (Bottom of Page)"/>
        <w:docPartUnique/>
      </w:docPartObj>
    </w:sdtPr>
    <w:sdtEndPr>
      <w:rPr>
        <w:noProof/>
      </w:rPr>
    </w:sdtEndPr>
    <w:sdtContent>
      <w:p w14:paraId="5718F4D3" w14:textId="77777777" w:rsidR="00EA367E" w:rsidRDefault="00EA367E">
        <w:pPr>
          <w:pStyle w:val="Footer"/>
        </w:pPr>
        <w:r>
          <w:t xml:space="preserve">Page | </w:t>
        </w:r>
        <w:r>
          <w:fldChar w:fldCharType="begin"/>
        </w:r>
        <w:r>
          <w:instrText xml:space="preserve"> PAGE   \* MERGEFORMAT </w:instrText>
        </w:r>
        <w:r>
          <w:fldChar w:fldCharType="separate"/>
        </w:r>
        <w:r>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7B30F4" w14:textId="178EADB8" w:rsidR="00EA367E" w:rsidRPr="0044154D" w:rsidRDefault="00006377">
    <w:pPr>
      <w:pStyle w:val="Footer"/>
    </w:pPr>
    <w:r>
      <w:rPr>
        <w:noProof/>
      </w:rPr>
      <mc:AlternateContent>
        <mc:Choice Requires="wps">
          <w:drawing>
            <wp:anchor distT="0" distB="0" distL="0" distR="0" simplePos="0" relativeHeight="251666432" behindDoc="0" locked="0" layoutInCell="1" allowOverlap="0" wp14:anchorId="57AB314D" wp14:editId="44369F26">
              <wp:simplePos x="0" y="0"/>
              <wp:positionH relativeFrom="margin">
                <wp:align>right</wp:align>
              </wp:positionH>
              <wp:positionV relativeFrom="paragraph">
                <wp:posOffset>-285892</wp:posOffset>
              </wp:positionV>
              <wp:extent cx="5923128" cy="156949"/>
              <wp:effectExtent l="0" t="0" r="190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128" cy="156949"/>
                      </a:xfrm>
                      <a:prstGeom prst="rect">
                        <a:avLst/>
                      </a:prstGeom>
                      <a:solidFill>
                        <a:srgbClr val="FFFFFF"/>
                      </a:solidFill>
                      <a:ln w="9525">
                        <a:noFill/>
                        <a:miter lim="800000"/>
                        <a:headEnd/>
                        <a:tailEnd/>
                      </a:ln>
                    </wps:spPr>
                    <wps:txbx>
                      <w:txbxContent>
                        <w:p w14:paraId="3FB0FF0E" w14:textId="0758FDC0" w:rsidR="00006377" w:rsidRPr="00E52994" w:rsidRDefault="00E52994">
                          <w:pPr>
                            <w:rPr>
                              <w:rFonts w:ascii="Times New Roman" w:hAnsi="Times New Roman" w:cs="Times New Roman"/>
                              <w:sz w:val="18"/>
                              <w:szCs w:val="18"/>
                            </w:rPr>
                          </w:pPr>
                          <w:r>
                            <w:rPr>
                              <w:rFonts w:ascii="Times New Roman" w:hAnsi="Times New Roman" w:cs="Times New Roman"/>
                              <w:noProof/>
                              <w:sz w:val="18"/>
                              <w:szCs w:val="18"/>
                            </w:rPr>
                            <w:t>* P</w:t>
                          </w:r>
                          <w:r w:rsidRPr="00E52994">
                            <w:rPr>
                              <w:rFonts w:ascii="Times New Roman" w:hAnsi="Times New Roman" w:cs="Times New Roman"/>
                              <w:noProof/>
                              <w:sz w:val="18"/>
                              <w:szCs w:val="18"/>
                            </w:rPr>
                            <w:t>reviously referred to as “carryover balance” internally</w:t>
                          </w:r>
                          <w:r>
                            <w:rPr>
                              <w:rFonts w:ascii="Times New Roman" w:hAnsi="Times New Roman" w:cs="Times New Roman"/>
                              <w:noProof/>
                              <w:sz w:val="18"/>
                              <w:szCs w:val="18"/>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AB314D" id="_x0000_t202" coordsize="21600,21600" o:spt="202" path="m,l,21600r21600,l21600,xe">
              <v:stroke joinstyle="miter"/>
              <v:path gradientshapeok="t" o:connecttype="rect"/>
            </v:shapetype>
            <v:shape id="_x0000_s1027" type="#_x0000_t202" style="position:absolute;margin-left:415.2pt;margin-top:-22.5pt;width:466.4pt;height:12.35pt;z-index:251666432;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BYGwIAABQEAAAOAAAAZHJzL2Uyb0RvYy54bWysU9uO0zAQfUfiHyy/0zSBLtuo6WrpUoS0&#10;XKRdPmDiOI2F7Qm226R8PWOn7S7whvCDNbZnzsycOV7djEazg3Reoa14PptzJq3ARtldxb89bl9d&#10;c+YD2AY0Wlnxo/T8Zv3yxWroS1lgh7qRjhGI9eXQV7wLoS+zzItOGvAz7KWlxxadgUBHt8saBwOh&#10;G50V8/lVNqBreodCek+3d9MjXyf8tpUifGlbLwPTFafaQtpd2uu4Z+sVlDsHfafEqQz4hyoMKEtJ&#10;L1B3EIDtnfoLyijh0GMbZgJNhm2rhEw9UDf5/I9uHjroZeqFyPH9hSb//2DF58NXx1RT8SJ/y5kF&#10;Q0N6lGNg73BkReRn6H1Jbg89OYaRrmnOqVff36P47pnFTQd2J2+dw6GT0FB9eYzMnoVOOD6C1MMn&#10;bCgN7AMmoLF1JpJHdDBCpzkdL7OJpQi6XCyL13lBahL0li+ulm+WKQWU5+je+fBBomHRqLij2Sd0&#10;ONz7EKuB8uwSk3nUqtkqrdPB7eqNduwApJNtWif039y0ZUPFl4tikZAtxvgkIaMC6VgrU/HreVwx&#10;HMrIxnvbJDuA0pNNlWh7oicyMnETxnpMk0jcRepqbI7El8NJtvTNyOjQ/eRsIMlW3P/Yg5Oc6Y+W&#10;OI/6PhvubNRnA6yg0IoHziZzE9I/iGVavKVZtCrR9JT5VCJJL7F3+iZR28/PyevpM69/AQAA//8D&#10;AFBLAwQUAAYACAAAACEAYE35Id4AAAAIAQAADwAAAGRycy9kb3ducmV2LnhtbEyPQU/DMAyF70j8&#10;h8hIXNCW0sEEpekEG9zgsDHt7DWmrWicqknX7t9jTnCz/Z6ev5evJteqE/Wh8Wzgdp6AIi69bbgy&#10;sP98mz2AChHZYuuZDJwpwKq4vMgxs37kLZ12sVISwiFDA3WMXaZ1KGtyGOa+Ixbty/cOo6x9pW2P&#10;o4S7VqdJstQOG5YPNXa0rqn83g3OwHLTD+OW1zeb/es7fnRVeng5H4y5vpqen0BFmuKfGX7xBR0K&#10;YTr6gW1QrQEpEg3M7u5lEPlxkUqTo1zSZAG6yPX/AsUPAAAA//8DAFBLAQItABQABgAIAAAAIQC2&#10;gziS/gAAAOEBAAATAAAAAAAAAAAAAAAAAAAAAABbQ29udGVudF9UeXBlc10ueG1sUEsBAi0AFAAG&#10;AAgAAAAhADj9If/WAAAAlAEAAAsAAAAAAAAAAAAAAAAALwEAAF9yZWxzLy5yZWxzUEsBAi0AFAAG&#10;AAgAAAAhAOyX8FgbAgAAFAQAAA4AAAAAAAAAAAAAAAAALgIAAGRycy9lMm9Eb2MueG1sUEsBAi0A&#10;FAAGAAgAAAAhAGBN+SHeAAAACAEAAA8AAAAAAAAAAAAAAAAAdQQAAGRycy9kb3ducmV2LnhtbFBL&#10;BQYAAAAABAAEAPMAAACABQAAAAA=&#10;" o:allowoverlap="f" stroked="f">
              <v:textbox inset="0,0,0,0">
                <w:txbxContent>
                  <w:p w14:paraId="3FB0FF0E" w14:textId="0758FDC0" w:rsidR="00006377" w:rsidRPr="00E52994" w:rsidRDefault="00E52994">
                    <w:pPr>
                      <w:rPr>
                        <w:rFonts w:ascii="Times New Roman" w:hAnsi="Times New Roman" w:cs="Times New Roman"/>
                        <w:sz w:val="18"/>
                        <w:szCs w:val="18"/>
                      </w:rPr>
                    </w:pPr>
                    <w:r>
                      <w:rPr>
                        <w:rFonts w:ascii="Times New Roman" w:hAnsi="Times New Roman" w:cs="Times New Roman"/>
                        <w:noProof/>
                        <w:sz w:val="18"/>
                        <w:szCs w:val="18"/>
                      </w:rPr>
                      <w:t>* P</w:t>
                    </w:r>
                    <w:r w:rsidRPr="00E52994">
                      <w:rPr>
                        <w:rFonts w:ascii="Times New Roman" w:hAnsi="Times New Roman" w:cs="Times New Roman"/>
                        <w:noProof/>
                        <w:sz w:val="18"/>
                        <w:szCs w:val="18"/>
                      </w:rPr>
                      <w:t>reviously referred to as “carryover balance” internally</w:t>
                    </w:r>
                    <w:r>
                      <w:rPr>
                        <w:rFonts w:ascii="Times New Roman" w:hAnsi="Times New Roman" w:cs="Times New Roman"/>
                        <w:noProof/>
                        <w:sz w:val="18"/>
                        <w:szCs w:val="18"/>
                      </w:rPr>
                      <w:t>.</w:t>
                    </w:r>
                  </w:p>
                </w:txbxContent>
              </v:textbox>
              <w10:wrap anchorx="margin"/>
            </v:shape>
          </w:pict>
        </mc:Fallback>
      </mc:AlternateContent>
    </w:r>
    <w:sdt>
      <w:sdtPr>
        <w:id w:val="534317075"/>
        <w:docPartObj>
          <w:docPartGallery w:val="Page Numbers (Bottom of Page)"/>
          <w:docPartUnique/>
        </w:docPartObj>
      </w:sdtPr>
      <w:sdtEndPr>
        <w:rPr>
          <w:noProof/>
        </w:rPr>
      </w:sdtEndPr>
      <w:sdtContent>
        <w:r w:rsidR="00EA367E">
          <w:t xml:space="preserve">Page | </w:t>
        </w:r>
        <w:r w:rsidR="00EA367E">
          <w:fldChar w:fldCharType="begin"/>
        </w:r>
        <w:r w:rsidR="00EA367E">
          <w:instrText xml:space="preserve"> PAGE   \* MERGEFORMAT </w:instrText>
        </w:r>
        <w:r w:rsidR="00EA367E">
          <w:fldChar w:fldCharType="separate"/>
        </w:r>
        <w:r w:rsidR="00EA367E">
          <w:rPr>
            <w:noProof/>
          </w:rPr>
          <w:t>1</w:t>
        </w:r>
        <w:r w:rsidR="00EA367E">
          <w:rPr>
            <w:noProof/>
          </w:rPr>
          <w:fldChar w:fldCharType="end"/>
        </w:r>
      </w:sdtContent>
    </w:sdt>
    <w:r w:rsidR="00342781">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457D1A" w14:textId="77777777" w:rsidR="008F487D" w:rsidRDefault="008F487D" w:rsidP="00944716">
      <w:pPr>
        <w:spacing w:after="0" w:line="240" w:lineRule="auto"/>
      </w:pPr>
      <w:r>
        <w:separator/>
      </w:r>
    </w:p>
  </w:footnote>
  <w:footnote w:type="continuationSeparator" w:id="0">
    <w:p w14:paraId="3E9E8759" w14:textId="77777777" w:rsidR="008F487D" w:rsidRDefault="008F487D"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546522" w14:textId="77777777" w:rsidR="00EA367E" w:rsidRDefault="00EA367E" w:rsidP="00A60317">
    <w:pPr>
      <w:pStyle w:val="Header"/>
    </w:pPr>
    <w:r>
      <w:rPr>
        <w:noProof/>
      </w:rPr>
      <mc:AlternateContent>
        <mc:Choice Requires="wps">
          <w:drawing>
            <wp:anchor distT="0" distB="0" distL="114300" distR="114300" simplePos="0" relativeHeight="251664384" behindDoc="0" locked="0" layoutInCell="1" allowOverlap="1" wp14:anchorId="37DC28B2" wp14:editId="14120A4F">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B255261"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N2b94PaAAAACAEAAA8AAABkcnMvZG93bnJldi54bWxMj81OwzAQhO9IvIO1SNyozU8DTeNU&#10;FVIfoKUS4ubamx+w15HtNOnbYyQkOO7MaPabajM7y84YYu9Jwv1CAEPS3vTUSji+7e5egMWkyCjr&#10;CSVcMMKmvr6qVGn8RHs8H1LLcgnFUknoUhpKzqPu0Km48ANS9hofnEr5DC03QU253Fn+IETBneop&#10;f+jUgK8d6q/D6CR8iMmOn7rZ6Ud1eaf91j2Hxkl5ezNv18ASzukvDD/4GR3qzHTyI5nIrIQ8JGW1&#10;EAWwbK+Wyydgp1+F1xX/P6D+BgAA//8DAFBLAQItABQABgAIAAAAIQC2gziS/gAAAOEBAAATAAAA&#10;AAAAAAAAAAAAAAAAAABbQ29udGVudF9UeXBlc10ueG1sUEsBAi0AFAAGAAgAAAAhADj9If/WAAAA&#10;lAEAAAsAAAAAAAAAAAAAAAAALwEAAF9yZWxzLy5yZWxzUEsBAi0AFAAGAAgAAAAhAJaEZ0DXAQAA&#10;DQQAAA4AAAAAAAAAAAAAAAAALgIAAGRycy9lMm9Eb2MueG1sUEsBAi0AFAAGAAgAAAAhAN2b94Pa&#10;AAAACAEAAA8AAAAAAAAAAAAAAAAAMQQAAGRycy9kb3ducmV2LnhtbFBLBQYAAAAABAAEAPMAAAA4&#10;BQAAAAA=&#10;" strokecolor="black [3213]" strokeweight="1pt"/>
          </w:pict>
        </mc:Fallback>
      </mc:AlternateContent>
    </w:r>
    <w:r>
      <w:rPr>
        <w:noProof/>
      </w:rPr>
      <mc:AlternateContent>
        <mc:Choice Requires="wps">
          <w:drawing>
            <wp:anchor distT="0" distB="0" distL="114300" distR="114300" simplePos="0" relativeHeight="251662336" behindDoc="0" locked="0" layoutInCell="1" allowOverlap="1" wp14:anchorId="132243C8" wp14:editId="248F0349">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7B097BAB" w14:textId="77777777" w:rsidR="00EA367E" w:rsidRPr="002771C9" w:rsidRDefault="00EA367E"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35DA3A58" w14:textId="77777777" w:rsidR="00EA367E" w:rsidRPr="002771C9" w:rsidRDefault="00EA367E" w:rsidP="00A60317">
                          <w:pPr>
                            <w:spacing w:after="120" w:line="240" w:lineRule="auto"/>
                            <w:rPr>
                              <w:rFonts w:ascii="Arial" w:hAnsi="Arial" w:cs="Arial"/>
                              <w:b/>
                              <w:sz w:val="28"/>
                              <w:szCs w:val="24"/>
                            </w:rPr>
                          </w:pPr>
                          <w:r w:rsidRPr="002771C9">
                            <w:rPr>
                              <w:rFonts w:ascii="Arial" w:hAnsi="Arial" w:cs="Arial"/>
                              <w:b/>
                              <w:sz w:val="28"/>
                              <w:szCs w:val="24"/>
                            </w:rPr>
                            <w:t>COUNCIL STAFF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2243C8"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KzyHwIAABsEAAAOAAAAZHJzL2Uyb0RvYy54bWysU9uO2yAQfa/Uf0C8N3asOM1acVbbbFNV&#10;2l6k3X4AxjhGBYYCiZ1+fQeczUbbt6o8IIYZDmfOzKxvR63IUTgvwdR0PsspEYZDK82+pj+edu9W&#10;lPjATMsUGFHTk/D0dvP2zXqwlSigB9UKRxDE+GqwNe1DsFWWed4LzfwMrDDo7MBpFtB0+6x1bEB0&#10;rbIiz5fZAK61DrjwHm/vJyfdJPyuEzx86zovAlE1RW4h7S7tTdyzzZpVe8dsL/mZBvsHFppJg59e&#10;oO5ZYOTg5F9QWnIHHrow46Az6DrJRcoBs5nnr7J57JkVKRcUx9uLTP7/wfKvx++OyLamJSWGaSzR&#10;kxgD+QAjKaI6g/UVBj1aDAsjXmOVU6bePgD/6YmBbc/MXtw5B0MvWIvs5vFldvV0wvERpBm+QIvf&#10;sEOABDR2TkfpUAyC6Fil06UykQrHy6LMF8vlnBKOvnKxWi5S6TJWPb+2zodPAjSJh5o6rHxCZ8cH&#10;HyIbVj2HxM88KNnupFLJcPtmqxw5MuySXVopgVdhypChpjdlUSZkA/F9aiAtA3axkrqmqzyuqa+i&#10;Gh9Nm0ICk2o6IxNlzvJERSZtwtiMGBg1a6A9oVAOpm7F6cJDD+43JQN2ak39rwNzghL12aDYN/MF&#10;qkFCMhbl+wINd+1prj3McISqaaBkOm5DGoeog4E7LEonk14vTM5csQOTjOdpiS1+baeol5ne/AEA&#10;AP//AwBQSwMEFAAGAAgAAAAhAKz/+UneAAAACgEAAA8AAABkcnMvZG93bnJldi54bWxMj0FPg0AU&#10;hO8m/ofNM/Fi7EKFUilLoyYar639AQ/2FUjZXcJuC/33Pk/2OJnJzDfFdja9uNDoO2cVxIsIBNna&#10;6c42Cg4/n89rED6g1dg7Swqu5GFb3t8VmGs32R1d9qERXGJ9jgraEIZcSl+3ZNAv3ECWvaMbDQaW&#10;YyP1iBOXm14uo2glDXaWF1oc6KOl+rQ/GwXH7+kpfZ2qr3DIdsnqHbusclelHh/mtw2IQHP4D8Mf&#10;PqNDyUyVO1vtRc86TfhLULBMX0BwIE3WCYiKnTjOQJaFvL1Q/gIAAP//AwBQSwECLQAUAAYACAAA&#10;ACEAtoM4kv4AAADhAQAAEwAAAAAAAAAAAAAAAAAAAAAAW0NvbnRlbnRfVHlwZXNdLnhtbFBLAQIt&#10;ABQABgAIAAAAIQA4/SH/1gAAAJQBAAALAAAAAAAAAAAAAAAAAC8BAABfcmVscy8ucmVsc1BLAQIt&#10;ABQABgAIAAAAIQDJ4KzyHwIAABsEAAAOAAAAAAAAAAAAAAAAAC4CAABkcnMvZTJvRG9jLnhtbFBL&#10;AQItABQABgAIAAAAIQCs//lJ3gAAAAoBAAAPAAAAAAAAAAAAAAAAAHkEAABkcnMvZG93bnJldi54&#10;bWxQSwUGAAAAAAQABADzAAAAhAUAAAAA&#10;" stroked="f">
              <v:textbox>
                <w:txbxContent>
                  <w:p w14:paraId="7B097BAB" w14:textId="77777777" w:rsidR="00EA367E" w:rsidRPr="002771C9" w:rsidRDefault="00EA367E"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35DA3A58" w14:textId="77777777" w:rsidR="00EA367E" w:rsidRPr="002771C9" w:rsidRDefault="00EA367E" w:rsidP="00A60317">
                    <w:pPr>
                      <w:spacing w:after="120" w:line="240" w:lineRule="auto"/>
                      <w:rPr>
                        <w:rFonts w:ascii="Arial" w:hAnsi="Arial" w:cs="Arial"/>
                        <w:b/>
                        <w:sz w:val="28"/>
                        <w:szCs w:val="24"/>
                      </w:rPr>
                    </w:pPr>
                    <w:r w:rsidRPr="002771C9">
                      <w:rPr>
                        <w:rFonts w:ascii="Arial" w:hAnsi="Arial" w:cs="Arial"/>
                        <w:b/>
                        <w:sz w:val="28"/>
                        <w:szCs w:val="24"/>
                      </w:rPr>
                      <w:t>COUNCIL STAFF REPORT</w:t>
                    </w:r>
                  </w:p>
                </w:txbxContent>
              </v:textbox>
            </v:shape>
          </w:pict>
        </mc:Fallback>
      </mc:AlternateContent>
    </w:r>
    <w:r>
      <w:rPr>
        <w:noProof/>
      </w:rPr>
      <w:drawing>
        <wp:inline distT="0" distB="0" distL="0" distR="0" wp14:anchorId="1D7DC0C4" wp14:editId="7C58F059">
          <wp:extent cx="906611" cy="906611"/>
          <wp:effectExtent l="0" t="0" r="825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985C6C"/>
    <w:multiLevelType w:val="hybridMultilevel"/>
    <w:tmpl w:val="E6A02566"/>
    <w:lvl w:ilvl="0" w:tplc="A91AEEB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9926BD"/>
    <w:multiLevelType w:val="hybridMultilevel"/>
    <w:tmpl w:val="CAF0DDE6"/>
    <w:lvl w:ilvl="0" w:tplc="A91AEEB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8F4"/>
    <w:rsid w:val="00002A11"/>
    <w:rsid w:val="00006377"/>
    <w:rsid w:val="00010CB7"/>
    <w:rsid w:val="00042BAF"/>
    <w:rsid w:val="00051FFC"/>
    <w:rsid w:val="00053E86"/>
    <w:rsid w:val="00054EAC"/>
    <w:rsid w:val="00067B45"/>
    <w:rsid w:val="00074245"/>
    <w:rsid w:val="00074449"/>
    <w:rsid w:val="00080912"/>
    <w:rsid w:val="00090BB5"/>
    <w:rsid w:val="000922CA"/>
    <w:rsid w:val="000C2799"/>
    <w:rsid w:val="000E325D"/>
    <w:rsid w:val="000F107D"/>
    <w:rsid w:val="00115A36"/>
    <w:rsid w:val="00115D2C"/>
    <w:rsid w:val="00125437"/>
    <w:rsid w:val="00127ACC"/>
    <w:rsid w:val="0013721C"/>
    <w:rsid w:val="00145620"/>
    <w:rsid w:val="00145852"/>
    <w:rsid w:val="00146744"/>
    <w:rsid w:val="00167212"/>
    <w:rsid w:val="00181FDF"/>
    <w:rsid w:val="001B38F4"/>
    <w:rsid w:val="001B65AC"/>
    <w:rsid w:val="001C2CE6"/>
    <w:rsid w:val="001C4458"/>
    <w:rsid w:val="001C7193"/>
    <w:rsid w:val="001E03FD"/>
    <w:rsid w:val="00211054"/>
    <w:rsid w:val="002220CD"/>
    <w:rsid w:val="00230C73"/>
    <w:rsid w:val="002532DD"/>
    <w:rsid w:val="00272BBB"/>
    <w:rsid w:val="002771C9"/>
    <w:rsid w:val="00287D62"/>
    <w:rsid w:val="0029238D"/>
    <w:rsid w:val="002C2ADC"/>
    <w:rsid w:val="002D5D7D"/>
    <w:rsid w:val="002D645B"/>
    <w:rsid w:val="002D7B9D"/>
    <w:rsid w:val="0030381B"/>
    <w:rsid w:val="00312F42"/>
    <w:rsid w:val="003142E0"/>
    <w:rsid w:val="00342781"/>
    <w:rsid w:val="00375D84"/>
    <w:rsid w:val="00387F5D"/>
    <w:rsid w:val="003930D0"/>
    <w:rsid w:val="003A6713"/>
    <w:rsid w:val="003A78DE"/>
    <w:rsid w:val="003E17C8"/>
    <w:rsid w:val="003F3A62"/>
    <w:rsid w:val="00403F08"/>
    <w:rsid w:val="00423C69"/>
    <w:rsid w:val="0044154D"/>
    <w:rsid w:val="00446BA6"/>
    <w:rsid w:val="00460F6A"/>
    <w:rsid w:val="00474E0B"/>
    <w:rsid w:val="004908C2"/>
    <w:rsid w:val="0049139F"/>
    <w:rsid w:val="004A2143"/>
    <w:rsid w:val="004B4ADB"/>
    <w:rsid w:val="004C3537"/>
    <w:rsid w:val="004C7999"/>
    <w:rsid w:val="004D3E16"/>
    <w:rsid w:val="004E73FF"/>
    <w:rsid w:val="004F7416"/>
    <w:rsid w:val="00504099"/>
    <w:rsid w:val="00504A19"/>
    <w:rsid w:val="00505ADC"/>
    <w:rsid w:val="00507A9A"/>
    <w:rsid w:val="00521E4D"/>
    <w:rsid w:val="00522AA1"/>
    <w:rsid w:val="00531335"/>
    <w:rsid w:val="00536100"/>
    <w:rsid w:val="00536394"/>
    <w:rsid w:val="00556252"/>
    <w:rsid w:val="00566D6B"/>
    <w:rsid w:val="0057039C"/>
    <w:rsid w:val="00577F4B"/>
    <w:rsid w:val="005B31A6"/>
    <w:rsid w:val="0061564A"/>
    <w:rsid w:val="0064056D"/>
    <w:rsid w:val="00641283"/>
    <w:rsid w:val="0064661D"/>
    <w:rsid w:val="00651E62"/>
    <w:rsid w:val="0068182E"/>
    <w:rsid w:val="0069329C"/>
    <w:rsid w:val="006B4069"/>
    <w:rsid w:val="006C2C61"/>
    <w:rsid w:val="006C4E01"/>
    <w:rsid w:val="006C65F0"/>
    <w:rsid w:val="007078A3"/>
    <w:rsid w:val="0072640F"/>
    <w:rsid w:val="007278A5"/>
    <w:rsid w:val="0073092F"/>
    <w:rsid w:val="007467A8"/>
    <w:rsid w:val="007902EB"/>
    <w:rsid w:val="007944B1"/>
    <w:rsid w:val="007A5A53"/>
    <w:rsid w:val="007A7ECF"/>
    <w:rsid w:val="007B5C29"/>
    <w:rsid w:val="007C2A2F"/>
    <w:rsid w:val="007C44D0"/>
    <w:rsid w:val="007C7390"/>
    <w:rsid w:val="007D2C1A"/>
    <w:rsid w:val="007D44B9"/>
    <w:rsid w:val="007F565C"/>
    <w:rsid w:val="008138DF"/>
    <w:rsid w:val="00815CE2"/>
    <w:rsid w:val="00815E13"/>
    <w:rsid w:val="00837E5A"/>
    <w:rsid w:val="0084304C"/>
    <w:rsid w:val="00860456"/>
    <w:rsid w:val="00864FD9"/>
    <w:rsid w:val="00870D51"/>
    <w:rsid w:val="00891D30"/>
    <w:rsid w:val="00893FED"/>
    <w:rsid w:val="00895A52"/>
    <w:rsid w:val="008C59EF"/>
    <w:rsid w:val="008D0A3F"/>
    <w:rsid w:val="008D394B"/>
    <w:rsid w:val="008E73AF"/>
    <w:rsid w:val="008E7E50"/>
    <w:rsid w:val="008F487D"/>
    <w:rsid w:val="008F4F89"/>
    <w:rsid w:val="00944716"/>
    <w:rsid w:val="0096623E"/>
    <w:rsid w:val="009A43E7"/>
    <w:rsid w:val="009C65FC"/>
    <w:rsid w:val="009C6B20"/>
    <w:rsid w:val="00A037A2"/>
    <w:rsid w:val="00A14371"/>
    <w:rsid w:val="00A60317"/>
    <w:rsid w:val="00A70FFA"/>
    <w:rsid w:val="00A76612"/>
    <w:rsid w:val="00A85BF9"/>
    <w:rsid w:val="00A86D31"/>
    <w:rsid w:val="00A94CF7"/>
    <w:rsid w:val="00AA4211"/>
    <w:rsid w:val="00AB20C6"/>
    <w:rsid w:val="00AC1D36"/>
    <w:rsid w:val="00AC3815"/>
    <w:rsid w:val="00AD494E"/>
    <w:rsid w:val="00AE2EB5"/>
    <w:rsid w:val="00AF1C46"/>
    <w:rsid w:val="00B0147D"/>
    <w:rsid w:val="00B172F5"/>
    <w:rsid w:val="00B357D7"/>
    <w:rsid w:val="00B41B7F"/>
    <w:rsid w:val="00B62A1A"/>
    <w:rsid w:val="00B62ECE"/>
    <w:rsid w:val="00B8775A"/>
    <w:rsid w:val="00B95FA2"/>
    <w:rsid w:val="00BA26CF"/>
    <w:rsid w:val="00BA59EE"/>
    <w:rsid w:val="00BB5656"/>
    <w:rsid w:val="00BC6B51"/>
    <w:rsid w:val="00C01E07"/>
    <w:rsid w:val="00C03622"/>
    <w:rsid w:val="00C06788"/>
    <w:rsid w:val="00C0788B"/>
    <w:rsid w:val="00C3396D"/>
    <w:rsid w:val="00C4327A"/>
    <w:rsid w:val="00C54572"/>
    <w:rsid w:val="00C84BAB"/>
    <w:rsid w:val="00C927FD"/>
    <w:rsid w:val="00C92BB8"/>
    <w:rsid w:val="00CA30C1"/>
    <w:rsid w:val="00CB6125"/>
    <w:rsid w:val="00CE0EF4"/>
    <w:rsid w:val="00CE5765"/>
    <w:rsid w:val="00D109BB"/>
    <w:rsid w:val="00D11B17"/>
    <w:rsid w:val="00D50A40"/>
    <w:rsid w:val="00D65A9C"/>
    <w:rsid w:val="00D83C83"/>
    <w:rsid w:val="00D8673D"/>
    <w:rsid w:val="00DB4C82"/>
    <w:rsid w:val="00DB7792"/>
    <w:rsid w:val="00DC0AE4"/>
    <w:rsid w:val="00DD0FAB"/>
    <w:rsid w:val="00DE05E0"/>
    <w:rsid w:val="00DF1331"/>
    <w:rsid w:val="00E0762A"/>
    <w:rsid w:val="00E12ACA"/>
    <w:rsid w:val="00E130E8"/>
    <w:rsid w:val="00E141DE"/>
    <w:rsid w:val="00E22EC1"/>
    <w:rsid w:val="00E50B89"/>
    <w:rsid w:val="00E52994"/>
    <w:rsid w:val="00E77808"/>
    <w:rsid w:val="00E8451D"/>
    <w:rsid w:val="00E85D37"/>
    <w:rsid w:val="00EA344E"/>
    <w:rsid w:val="00EA367E"/>
    <w:rsid w:val="00ED11DD"/>
    <w:rsid w:val="00ED3E9A"/>
    <w:rsid w:val="00F04CB3"/>
    <w:rsid w:val="00F16694"/>
    <w:rsid w:val="00F53F50"/>
    <w:rsid w:val="00F55639"/>
    <w:rsid w:val="00F6747A"/>
    <w:rsid w:val="00F77C73"/>
    <w:rsid w:val="00FA161A"/>
    <w:rsid w:val="00FA5171"/>
    <w:rsid w:val="00FA6715"/>
    <w:rsid w:val="00FA7D7C"/>
    <w:rsid w:val="00FB0F65"/>
    <w:rsid w:val="00FB62DD"/>
    <w:rsid w:val="00FC0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CBA376C"/>
  <w15:docId w15:val="{58784FA3-2320-4674-B95F-96AEE66D7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paragraph" w:styleId="ListParagraph">
    <w:name w:val="List Paragraph"/>
    <w:basedOn w:val="Normal"/>
    <w:uiPriority w:val="34"/>
    <w:qFormat/>
    <w:rsid w:val="00C0788B"/>
    <w:pPr>
      <w:ind w:left="720"/>
      <w:contextualSpacing/>
    </w:pPr>
  </w:style>
  <w:style w:type="character" w:styleId="FollowedHyperlink">
    <w:name w:val="FollowedHyperlink"/>
    <w:basedOn w:val="DefaultParagraphFont"/>
    <w:uiPriority w:val="99"/>
    <w:semiHidden/>
    <w:unhideWhenUsed/>
    <w:rsid w:val="00C927FD"/>
    <w:rPr>
      <w:color w:val="800080" w:themeColor="followedHyperlink"/>
      <w:u w:val="single"/>
    </w:rPr>
  </w:style>
  <w:style w:type="table" w:styleId="TableGrid">
    <w:name w:val="Table Grid"/>
    <w:basedOn w:val="TableNormal"/>
    <w:uiPriority w:val="59"/>
    <w:rsid w:val="008E7E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30C73"/>
    <w:rPr>
      <w:sz w:val="16"/>
      <w:szCs w:val="16"/>
    </w:rPr>
  </w:style>
  <w:style w:type="paragraph" w:styleId="CommentText">
    <w:name w:val="annotation text"/>
    <w:basedOn w:val="Normal"/>
    <w:link w:val="CommentTextChar"/>
    <w:uiPriority w:val="99"/>
    <w:semiHidden/>
    <w:unhideWhenUsed/>
    <w:rsid w:val="00230C73"/>
    <w:pPr>
      <w:spacing w:line="240" w:lineRule="auto"/>
    </w:pPr>
    <w:rPr>
      <w:sz w:val="20"/>
      <w:szCs w:val="20"/>
    </w:rPr>
  </w:style>
  <w:style w:type="character" w:customStyle="1" w:styleId="CommentTextChar">
    <w:name w:val="Comment Text Char"/>
    <w:basedOn w:val="DefaultParagraphFont"/>
    <w:link w:val="CommentText"/>
    <w:uiPriority w:val="99"/>
    <w:semiHidden/>
    <w:rsid w:val="00230C73"/>
    <w:rPr>
      <w:sz w:val="20"/>
      <w:szCs w:val="20"/>
    </w:rPr>
  </w:style>
  <w:style w:type="paragraph" w:styleId="CommentSubject">
    <w:name w:val="annotation subject"/>
    <w:basedOn w:val="CommentText"/>
    <w:next w:val="CommentText"/>
    <w:link w:val="CommentSubjectChar"/>
    <w:uiPriority w:val="99"/>
    <w:semiHidden/>
    <w:unhideWhenUsed/>
    <w:rsid w:val="00230C73"/>
    <w:rPr>
      <w:b/>
      <w:bCs/>
    </w:rPr>
  </w:style>
  <w:style w:type="character" w:customStyle="1" w:styleId="CommentSubjectChar">
    <w:name w:val="Comment Subject Char"/>
    <w:basedOn w:val="CommentTextChar"/>
    <w:link w:val="CommentSubject"/>
    <w:uiPriority w:val="99"/>
    <w:semiHidden/>
    <w:rsid w:val="00230C7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6244652">
      <w:bodyDiv w:val="1"/>
      <w:marLeft w:val="0"/>
      <w:marRight w:val="0"/>
      <w:marTop w:val="0"/>
      <w:marBottom w:val="0"/>
      <w:divBdr>
        <w:top w:val="none" w:sz="0" w:space="0" w:color="auto"/>
        <w:left w:val="none" w:sz="0" w:space="0" w:color="auto"/>
        <w:bottom w:val="none" w:sz="0" w:space="0" w:color="auto"/>
        <w:right w:val="none" w:sz="0" w:space="0" w:color="auto"/>
      </w:divBdr>
    </w:div>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013141863">
      <w:bodyDiv w:val="1"/>
      <w:marLeft w:val="0"/>
      <w:marRight w:val="0"/>
      <w:marTop w:val="0"/>
      <w:marBottom w:val="0"/>
      <w:divBdr>
        <w:top w:val="none" w:sz="0" w:space="0" w:color="auto"/>
        <w:left w:val="none" w:sz="0" w:space="0" w:color="auto"/>
        <w:bottom w:val="none" w:sz="0" w:space="0" w:color="auto"/>
        <w:right w:val="none" w:sz="0" w:space="0" w:color="auto"/>
      </w:divBdr>
    </w:div>
    <w:div w:id="134119669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44947875">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5502812">
      <w:bodyDiv w:val="1"/>
      <w:marLeft w:val="0"/>
      <w:marRight w:val="0"/>
      <w:marTop w:val="0"/>
      <w:marBottom w:val="0"/>
      <w:divBdr>
        <w:top w:val="none" w:sz="0" w:space="0" w:color="auto"/>
        <w:left w:val="none" w:sz="0" w:space="0" w:color="auto"/>
        <w:bottom w:val="none" w:sz="0" w:space="0" w:color="auto"/>
        <w:right w:val="none" w:sz="0" w:space="0" w:color="auto"/>
      </w:divBdr>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359361-15EF-471A-BA5D-8F25D3AAE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1001</Words>
  <Characters>5711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Mark Roberts</dc:creator>
  <cp:lastModifiedBy>Mark Roberts</cp:lastModifiedBy>
  <cp:revision>2</cp:revision>
  <cp:lastPrinted>2017-03-14T15:41:00Z</cp:lastPrinted>
  <dcterms:created xsi:type="dcterms:W3CDTF">2022-01-04T23:52:00Z</dcterms:created>
  <dcterms:modified xsi:type="dcterms:W3CDTF">2022-01-04T23:52:00Z</dcterms:modified>
</cp:coreProperties>
</file>