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0E232"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8C290CC" w14:textId="77777777" w:rsidR="003F3A62" w:rsidRPr="003F3A62" w:rsidRDefault="003F3A62" w:rsidP="003F3A62">
      <w:pPr>
        <w:spacing w:line="240" w:lineRule="auto"/>
        <w:jc w:val="both"/>
        <w:rPr>
          <w:rFonts w:ascii="Times New Roman" w:hAnsi="Times New Roman" w:cs="Times New Roman"/>
          <w:b/>
          <w:sz w:val="16"/>
          <w:szCs w:val="16"/>
        </w:rPr>
      </w:pPr>
    </w:p>
    <w:p w14:paraId="0B39CCE3" w14:textId="4BAB2EBE"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E62770">
        <w:rPr>
          <w:rFonts w:ascii="Times New Roman" w:hAnsi="Times New Roman" w:cs="Times New Roman"/>
          <w:b/>
          <w:sz w:val="24"/>
          <w:szCs w:val="24"/>
        </w:rPr>
        <w:t>AUGUST 20, 2024</w:t>
      </w:r>
    </w:p>
    <w:p w14:paraId="4375CDB9" w14:textId="6E18B4AD"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EE4491">
        <w:rPr>
          <w:rFonts w:ascii="Times New Roman" w:hAnsi="Times New Roman" w:cs="Times New Roman"/>
          <w:b/>
          <w:sz w:val="24"/>
          <w:szCs w:val="24"/>
        </w:rPr>
        <w:t>CITY ATTORNEY’S OFFICE</w:t>
      </w:r>
    </w:p>
    <w:p w14:paraId="196200F6" w14:textId="5873AE68"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EE4491">
        <w:rPr>
          <w:rFonts w:ascii="Times New Roman" w:hAnsi="Times New Roman" w:cs="Times New Roman"/>
          <w:b/>
          <w:sz w:val="24"/>
          <w:szCs w:val="24"/>
        </w:rPr>
        <w:t>CHRISTOPHER A. CALLIHAN, CITY ATTORNEY</w:t>
      </w:r>
    </w:p>
    <w:p w14:paraId="1EF3A67B" w14:textId="53124D08" w:rsidR="00E141DE" w:rsidRPr="00893FED" w:rsidRDefault="0061564A" w:rsidP="00EE4491">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EE4491">
        <w:rPr>
          <w:rFonts w:ascii="Times New Roman" w:hAnsi="Times New Roman" w:cs="Times New Roman"/>
          <w:b/>
          <w:sz w:val="24"/>
          <w:szCs w:val="24"/>
        </w:rPr>
        <w:t xml:space="preserve">RENT STABILIZATION </w:t>
      </w:r>
      <w:r w:rsidR="0073442B">
        <w:rPr>
          <w:rFonts w:ascii="Times New Roman" w:hAnsi="Times New Roman" w:cs="Times New Roman"/>
          <w:b/>
          <w:sz w:val="24"/>
          <w:szCs w:val="24"/>
        </w:rPr>
        <w:t>AND TENANT PROTECTION</w:t>
      </w:r>
    </w:p>
    <w:p w14:paraId="044679D4"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1EBC75E3"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2DEB5C8A" w14:textId="627B07A6" w:rsidR="00EE4491" w:rsidRDefault="00EE4491" w:rsidP="00E130E8">
      <w:pPr>
        <w:spacing w:after="0" w:line="240" w:lineRule="auto"/>
        <w:jc w:val="both"/>
        <w:rPr>
          <w:rFonts w:ascii="Times New Roman" w:hAnsi="Times New Roman" w:cs="Times New Roman"/>
          <w:i/>
          <w:sz w:val="24"/>
          <w:szCs w:val="24"/>
        </w:rPr>
      </w:pPr>
    </w:p>
    <w:p w14:paraId="62B0452D" w14:textId="023F6AE5" w:rsidR="0073442B" w:rsidRPr="00EE4491" w:rsidRDefault="0073442B" w:rsidP="00E62770">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It is recommended that the City Council receive a report on a rent stabilization and tenant protection program and consider whether to direct the City Attorney’s Office to prepare final drafts of a Rent Stabilization Ordinance, a Tenant Protection and Just Cause Eviction Ordinance, and a Tenant Anti-Harassment Ordinance for introduction on September 10, 2024.</w:t>
      </w:r>
      <w:r w:rsidR="00BD35E9">
        <w:rPr>
          <w:rFonts w:ascii="Times New Roman" w:hAnsi="Times New Roman" w:cs="Times New Roman"/>
          <w:iCs/>
          <w:sz w:val="24"/>
          <w:szCs w:val="24"/>
        </w:rPr>
        <w:t xml:space="preserve"> Should the City Council introduce final ordinances on September 10, 2024, final drafts would be brought </w:t>
      </w:r>
      <w:r w:rsidR="003F78C4">
        <w:rPr>
          <w:rFonts w:ascii="Times New Roman" w:hAnsi="Times New Roman" w:cs="Times New Roman"/>
          <w:iCs/>
          <w:sz w:val="24"/>
          <w:szCs w:val="24"/>
        </w:rPr>
        <w:t>forward</w:t>
      </w:r>
      <w:r w:rsidR="00BD35E9">
        <w:rPr>
          <w:rFonts w:ascii="Times New Roman" w:hAnsi="Times New Roman" w:cs="Times New Roman"/>
          <w:iCs/>
          <w:sz w:val="24"/>
          <w:szCs w:val="24"/>
        </w:rPr>
        <w:t xml:space="preserve"> for adoption by the City Council on September 24, 2024.</w:t>
      </w:r>
    </w:p>
    <w:p w14:paraId="3DA2E5C5" w14:textId="77777777" w:rsidR="0084304C" w:rsidRPr="00893FED" w:rsidRDefault="0084304C" w:rsidP="00E130E8">
      <w:pPr>
        <w:spacing w:after="0" w:line="240" w:lineRule="auto"/>
        <w:jc w:val="both"/>
        <w:rPr>
          <w:rFonts w:ascii="Times New Roman" w:hAnsi="Times New Roman" w:cs="Times New Roman"/>
          <w:sz w:val="24"/>
          <w:szCs w:val="24"/>
        </w:rPr>
      </w:pPr>
    </w:p>
    <w:p w14:paraId="2D559DE5"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4897202D" w14:textId="77777777" w:rsidR="00DE05E0" w:rsidRDefault="00DE05E0" w:rsidP="00E130E8">
      <w:pPr>
        <w:spacing w:after="0" w:line="240" w:lineRule="auto"/>
        <w:jc w:val="both"/>
        <w:rPr>
          <w:rFonts w:ascii="Times New Roman" w:hAnsi="Times New Roman" w:cs="Times New Roman"/>
          <w:sz w:val="24"/>
          <w:szCs w:val="24"/>
          <w:u w:val="single"/>
        </w:rPr>
      </w:pPr>
    </w:p>
    <w:p w14:paraId="1C3E842F" w14:textId="1CBA9DAE" w:rsidR="00B516C9" w:rsidRDefault="00B516C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Beginning in October 2023, the City Council began exploring the concepts of </w:t>
      </w:r>
      <w:r w:rsidR="00000849">
        <w:rPr>
          <w:rFonts w:ascii="Times New Roman" w:hAnsi="Times New Roman" w:cs="Times New Roman"/>
          <w:sz w:val="24"/>
          <w:szCs w:val="24"/>
        </w:rPr>
        <w:t xml:space="preserve">local </w:t>
      </w:r>
      <w:r>
        <w:rPr>
          <w:rFonts w:ascii="Times New Roman" w:hAnsi="Times New Roman" w:cs="Times New Roman"/>
          <w:sz w:val="24"/>
          <w:szCs w:val="24"/>
        </w:rPr>
        <w:t xml:space="preserve">rent stabilization and tenant protections. Since then, the City began developing a rent stabilization and tenant protection program which generally consists of three ordinances: a Rent Stabilization Ordinance, a Tenant Protection and Just Cause Eviction Ordinance, and a Tenant Ant-Harassment Ordinance (collectively, the “Ordinances”). </w:t>
      </w:r>
    </w:p>
    <w:p w14:paraId="325322A4" w14:textId="77777777" w:rsidR="00B516C9" w:rsidRDefault="00B516C9" w:rsidP="00E130E8">
      <w:pPr>
        <w:spacing w:after="0" w:line="240" w:lineRule="auto"/>
        <w:jc w:val="both"/>
        <w:rPr>
          <w:rFonts w:ascii="Times New Roman" w:hAnsi="Times New Roman" w:cs="Times New Roman"/>
          <w:sz w:val="24"/>
          <w:szCs w:val="24"/>
        </w:rPr>
      </w:pPr>
    </w:p>
    <w:p w14:paraId="78FF04F1" w14:textId="11875415" w:rsidR="00000849" w:rsidRDefault="00B516C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Since the City Council first began exploring these concepts, the </w:t>
      </w:r>
      <w:r w:rsidR="007234D0">
        <w:rPr>
          <w:rFonts w:ascii="Times New Roman" w:hAnsi="Times New Roman" w:cs="Times New Roman"/>
          <w:sz w:val="24"/>
          <w:szCs w:val="24"/>
        </w:rPr>
        <w:t xml:space="preserve">City </w:t>
      </w:r>
      <w:r>
        <w:rPr>
          <w:rFonts w:ascii="Times New Roman" w:hAnsi="Times New Roman" w:cs="Times New Roman"/>
          <w:sz w:val="24"/>
          <w:szCs w:val="24"/>
        </w:rPr>
        <w:t xml:space="preserve">has engaged with the community to receive feedback to inform the City Council’s consideration of the program and its components. Prior to this </w:t>
      </w:r>
      <w:r w:rsidR="00000849">
        <w:rPr>
          <w:rFonts w:ascii="Times New Roman" w:hAnsi="Times New Roman" w:cs="Times New Roman"/>
          <w:sz w:val="24"/>
          <w:szCs w:val="24"/>
        </w:rPr>
        <w:t xml:space="preserve">August 20, 2024, </w:t>
      </w:r>
      <w:r>
        <w:rPr>
          <w:rFonts w:ascii="Times New Roman" w:hAnsi="Times New Roman" w:cs="Times New Roman"/>
          <w:sz w:val="24"/>
          <w:szCs w:val="24"/>
        </w:rPr>
        <w:t>meeting, the City Council has not</w:t>
      </w:r>
      <w:r w:rsidR="00000849">
        <w:rPr>
          <w:rFonts w:ascii="Times New Roman" w:hAnsi="Times New Roman" w:cs="Times New Roman"/>
          <w:sz w:val="24"/>
          <w:szCs w:val="24"/>
        </w:rPr>
        <w:t xml:space="preserve"> </w:t>
      </w:r>
      <w:r w:rsidR="0035675A">
        <w:rPr>
          <w:rFonts w:ascii="Times New Roman" w:hAnsi="Times New Roman" w:cs="Times New Roman"/>
          <w:sz w:val="24"/>
          <w:szCs w:val="24"/>
        </w:rPr>
        <w:t xml:space="preserve">met as a full body </w:t>
      </w:r>
      <w:r w:rsidR="00000849">
        <w:rPr>
          <w:rFonts w:ascii="Times New Roman" w:hAnsi="Times New Roman" w:cs="Times New Roman"/>
          <w:sz w:val="24"/>
          <w:szCs w:val="24"/>
        </w:rPr>
        <w:t>to</w:t>
      </w:r>
      <w:r>
        <w:rPr>
          <w:rFonts w:ascii="Times New Roman" w:hAnsi="Times New Roman" w:cs="Times New Roman"/>
          <w:sz w:val="24"/>
          <w:szCs w:val="24"/>
        </w:rPr>
        <w:t xml:space="preserve"> discus</w:t>
      </w:r>
      <w:r w:rsidR="00000849">
        <w:rPr>
          <w:rFonts w:ascii="Times New Roman" w:hAnsi="Times New Roman" w:cs="Times New Roman"/>
          <w:sz w:val="24"/>
          <w:szCs w:val="24"/>
        </w:rPr>
        <w:t>s</w:t>
      </w:r>
      <w:r>
        <w:rPr>
          <w:rFonts w:ascii="Times New Roman" w:hAnsi="Times New Roman" w:cs="Times New Roman"/>
          <w:sz w:val="24"/>
          <w:szCs w:val="24"/>
        </w:rPr>
        <w:t xml:space="preserve"> or agree on criteria for a rent stabilization </w:t>
      </w:r>
      <w:r w:rsidR="0035675A">
        <w:rPr>
          <w:rFonts w:ascii="Times New Roman" w:hAnsi="Times New Roman" w:cs="Times New Roman"/>
          <w:sz w:val="24"/>
          <w:szCs w:val="24"/>
        </w:rPr>
        <w:t>and tenant protection program.</w:t>
      </w:r>
      <w:r>
        <w:rPr>
          <w:rFonts w:ascii="Times New Roman" w:hAnsi="Times New Roman" w:cs="Times New Roman"/>
          <w:sz w:val="24"/>
          <w:szCs w:val="24"/>
        </w:rPr>
        <w:t xml:space="preserve"> </w:t>
      </w:r>
    </w:p>
    <w:p w14:paraId="04C8D58B" w14:textId="77777777" w:rsidR="00000849" w:rsidRDefault="00000849" w:rsidP="00E130E8">
      <w:pPr>
        <w:spacing w:after="0" w:line="240" w:lineRule="auto"/>
        <w:jc w:val="both"/>
        <w:rPr>
          <w:rFonts w:ascii="Times New Roman" w:hAnsi="Times New Roman" w:cs="Times New Roman"/>
          <w:sz w:val="24"/>
          <w:szCs w:val="24"/>
        </w:rPr>
      </w:pPr>
    </w:p>
    <w:p w14:paraId="45B4EF7C" w14:textId="04373CD0" w:rsidR="00B516C9" w:rsidRDefault="00B516C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 help ensure the City Council and the public have an opportunity to consider th</w:t>
      </w:r>
      <w:r w:rsidR="0035675A">
        <w:rPr>
          <w:rFonts w:ascii="Times New Roman" w:hAnsi="Times New Roman" w:cs="Times New Roman"/>
          <w:sz w:val="24"/>
          <w:szCs w:val="24"/>
        </w:rPr>
        <w:t>e</w:t>
      </w:r>
      <w:r>
        <w:rPr>
          <w:rFonts w:ascii="Times New Roman" w:hAnsi="Times New Roman" w:cs="Times New Roman"/>
          <w:sz w:val="24"/>
          <w:szCs w:val="24"/>
        </w:rPr>
        <w:t xml:space="preserve"> program and its components, the City Council’s consideration will be through a presentation of the program and its components on August 20, 2024</w:t>
      </w:r>
      <w:r w:rsidR="00000849">
        <w:rPr>
          <w:rFonts w:ascii="Times New Roman" w:hAnsi="Times New Roman" w:cs="Times New Roman"/>
          <w:sz w:val="24"/>
          <w:szCs w:val="24"/>
        </w:rPr>
        <w:t>. P</w:t>
      </w:r>
      <w:r>
        <w:rPr>
          <w:rFonts w:ascii="Times New Roman" w:hAnsi="Times New Roman" w:cs="Times New Roman"/>
          <w:sz w:val="24"/>
          <w:szCs w:val="24"/>
        </w:rPr>
        <w:t>rovided the City Council agrees on criteria for a rent stabilization and tenant protection program</w:t>
      </w:r>
      <w:r w:rsidR="0035675A">
        <w:rPr>
          <w:rFonts w:ascii="Times New Roman" w:hAnsi="Times New Roman" w:cs="Times New Roman"/>
          <w:sz w:val="24"/>
          <w:szCs w:val="24"/>
        </w:rPr>
        <w:t xml:space="preserve"> on August 20, 2024, final draft Ordinances would be brought forward</w:t>
      </w:r>
      <w:r>
        <w:rPr>
          <w:rFonts w:ascii="Times New Roman" w:hAnsi="Times New Roman" w:cs="Times New Roman"/>
          <w:sz w:val="24"/>
          <w:szCs w:val="24"/>
        </w:rPr>
        <w:t xml:space="preserve"> </w:t>
      </w:r>
      <w:r w:rsidR="0035675A">
        <w:rPr>
          <w:rFonts w:ascii="Times New Roman" w:hAnsi="Times New Roman" w:cs="Times New Roman"/>
          <w:sz w:val="24"/>
          <w:szCs w:val="24"/>
        </w:rPr>
        <w:t>for</w:t>
      </w:r>
      <w:r>
        <w:rPr>
          <w:rFonts w:ascii="Times New Roman" w:hAnsi="Times New Roman" w:cs="Times New Roman"/>
          <w:sz w:val="24"/>
          <w:szCs w:val="24"/>
        </w:rPr>
        <w:t xml:space="preserve"> introduction on September 10, 2024, </w:t>
      </w:r>
      <w:r w:rsidR="0035675A">
        <w:rPr>
          <w:rFonts w:ascii="Times New Roman" w:hAnsi="Times New Roman" w:cs="Times New Roman"/>
          <w:sz w:val="24"/>
          <w:szCs w:val="24"/>
        </w:rPr>
        <w:t xml:space="preserve">and </w:t>
      </w:r>
      <w:r>
        <w:rPr>
          <w:rFonts w:ascii="Times New Roman" w:hAnsi="Times New Roman" w:cs="Times New Roman"/>
          <w:sz w:val="24"/>
          <w:szCs w:val="24"/>
        </w:rPr>
        <w:t>adoption of the Ordinances</w:t>
      </w:r>
      <w:r w:rsidR="00000849">
        <w:rPr>
          <w:rFonts w:ascii="Times New Roman" w:hAnsi="Times New Roman" w:cs="Times New Roman"/>
          <w:sz w:val="24"/>
          <w:szCs w:val="24"/>
        </w:rPr>
        <w:t xml:space="preserve"> would be scheduled</w:t>
      </w:r>
      <w:r>
        <w:rPr>
          <w:rFonts w:ascii="Times New Roman" w:hAnsi="Times New Roman" w:cs="Times New Roman"/>
          <w:sz w:val="24"/>
          <w:szCs w:val="24"/>
        </w:rPr>
        <w:t xml:space="preserve"> </w:t>
      </w:r>
      <w:r w:rsidR="00000849">
        <w:rPr>
          <w:rFonts w:ascii="Times New Roman" w:hAnsi="Times New Roman" w:cs="Times New Roman"/>
          <w:sz w:val="24"/>
          <w:szCs w:val="24"/>
        </w:rPr>
        <w:t>for</w:t>
      </w:r>
      <w:r>
        <w:rPr>
          <w:rFonts w:ascii="Times New Roman" w:hAnsi="Times New Roman" w:cs="Times New Roman"/>
          <w:sz w:val="24"/>
          <w:szCs w:val="24"/>
        </w:rPr>
        <w:t xml:space="preserve"> September 24, 2024. As discussed below in this report, should the City Council adopt the Ordinances they would become effective thirty (30) days following the date of adoption, but would not become operative until January 1, 2025.</w:t>
      </w:r>
    </w:p>
    <w:p w14:paraId="31583129" w14:textId="77777777" w:rsidR="00000849" w:rsidRDefault="00000849" w:rsidP="00E130E8">
      <w:pPr>
        <w:spacing w:after="0" w:line="240" w:lineRule="auto"/>
        <w:jc w:val="both"/>
        <w:rPr>
          <w:rFonts w:ascii="Times New Roman" w:hAnsi="Times New Roman" w:cs="Times New Roman"/>
          <w:sz w:val="24"/>
          <w:szCs w:val="24"/>
        </w:rPr>
      </w:pPr>
    </w:p>
    <w:p w14:paraId="63E29194" w14:textId="77777777" w:rsidR="0035675A" w:rsidRDefault="0035675A" w:rsidP="00E130E8">
      <w:pPr>
        <w:spacing w:after="0" w:line="240" w:lineRule="auto"/>
        <w:jc w:val="both"/>
        <w:rPr>
          <w:rFonts w:ascii="Times New Roman" w:hAnsi="Times New Roman" w:cs="Times New Roman"/>
          <w:sz w:val="24"/>
          <w:szCs w:val="24"/>
        </w:rPr>
      </w:pPr>
    </w:p>
    <w:p w14:paraId="55EB0583" w14:textId="77777777" w:rsidR="0035675A" w:rsidRPr="00000849" w:rsidRDefault="0035675A" w:rsidP="00E130E8">
      <w:pPr>
        <w:spacing w:after="0" w:line="240" w:lineRule="auto"/>
        <w:jc w:val="both"/>
        <w:rPr>
          <w:rFonts w:ascii="Times New Roman" w:hAnsi="Times New Roman" w:cs="Times New Roman"/>
          <w:sz w:val="24"/>
          <w:szCs w:val="24"/>
        </w:rPr>
      </w:pPr>
    </w:p>
    <w:p w14:paraId="6165721F" w14:textId="77777777" w:rsidR="00B516C9" w:rsidRDefault="00B516C9" w:rsidP="00E130E8">
      <w:pPr>
        <w:spacing w:after="0" w:line="240" w:lineRule="auto"/>
        <w:jc w:val="both"/>
        <w:rPr>
          <w:rFonts w:ascii="Times New Roman" w:hAnsi="Times New Roman" w:cs="Times New Roman"/>
          <w:sz w:val="24"/>
          <w:szCs w:val="24"/>
          <w:u w:val="single"/>
        </w:rPr>
      </w:pPr>
    </w:p>
    <w:p w14:paraId="30868A5B" w14:textId="0BD7EC67" w:rsidR="00B516C9"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lastRenderedPageBreak/>
        <w:t>BACKGROUND</w:t>
      </w:r>
      <w:r w:rsidRPr="00893FED">
        <w:rPr>
          <w:rFonts w:ascii="Times New Roman" w:hAnsi="Times New Roman" w:cs="Times New Roman"/>
          <w:sz w:val="24"/>
          <w:szCs w:val="24"/>
        </w:rPr>
        <w:t>:</w:t>
      </w:r>
    </w:p>
    <w:p w14:paraId="298568A2" w14:textId="77777777" w:rsidR="006A20A9" w:rsidRDefault="006A20A9" w:rsidP="00E130E8">
      <w:pPr>
        <w:spacing w:after="0" w:line="240" w:lineRule="auto"/>
        <w:jc w:val="both"/>
        <w:rPr>
          <w:rFonts w:ascii="Times New Roman" w:hAnsi="Times New Roman" w:cs="Times New Roman"/>
          <w:sz w:val="24"/>
          <w:szCs w:val="24"/>
        </w:rPr>
      </w:pPr>
    </w:p>
    <w:p w14:paraId="2866916F" w14:textId="4AF9110C" w:rsidR="006A20A9" w:rsidRDefault="006A20A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Rent stabilization and tenant protection ordinances have existed at the local level in some California cities since the 1970’s. Prior to existing state law, local governments were able to enact such ordinances with few constraints specifically imposed by state law. In 1995, however, the Costa-Hawkins Rental Housing Act (1995) (the “Costa-Hawkins Act”) introduced three significant limitations. First, it exempted certain types of rental units from local rent stabilization (most notably single</w:t>
      </w:r>
      <w:r w:rsidR="00223B0B">
        <w:rPr>
          <w:rFonts w:ascii="Times New Roman" w:hAnsi="Times New Roman" w:cs="Times New Roman"/>
          <w:sz w:val="24"/>
          <w:szCs w:val="24"/>
        </w:rPr>
        <w:t>-</w:t>
      </w:r>
      <w:r>
        <w:rPr>
          <w:rFonts w:ascii="Times New Roman" w:hAnsi="Times New Roman" w:cs="Times New Roman"/>
          <w:sz w:val="24"/>
          <w:szCs w:val="24"/>
        </w:rPr>
        <w:t xml:space="preserve">family homes and condominiums). Second, it exempted units built after the February 1, 1995, </w:t>
      </w:r>
      <w:r w:rsidR="00223B0B">
        <w:rPr>
          <w:rFonts w:ascii="Times New Roman" w:hAnsi="Times New Roman" w:cs="Times New Roman"/>
          <w:sz w:val="24"/>
          <w:szCs w:val="24"/>
        </w:rPr>
        <w:t xml:space="preserve">the </w:t>
      </w:r>
      <w:r>
        <w:rPr>
          <w:rFonts w:ascii="Times New Roman" w:hAnsi="Times New Roman" w:cs="Times New Roman"/>
          <w:sz w:val="24"/>
          <w:szCs w:val="24"/>
        </w:rPr>
        <w:t xml:space="preserve">effective date of the Costa-Hawkins Act. Third, it prohibited “vacancy control.” Vacancy control refers to regulating the amount a landlord may charge for a new lease of a vacant unit. Under the Costa-Hawkins Act, when a rental unit becomes vacant, a landlord is not restricted in the amount of rent charged in a new lease. </w:t>
      </w:r>
    </w:p>
    <w:p w14:paraId="7B6EC3A8" w14:textId="77777777" w:rsidR="006A20A9" w:rsidRDefault="006A20A9" w:rsidP="00E130E8">
      <w:pPr>
        <w:spacing w:after="0" w:line="240" w:lineRule="auto"/>
        <w:jc w:val="both"/>
        <w:rPr>
          <w:rFonts w:ascii="Times New Roman" w:hAnsi="Times New Roman" w:cs="Times New Roman"/>
          <w:sz w:val="24"/>
          <w:szCs w:val="24"/>
        </w:rPr>
      </w:pPr>
    </w:p>
    <w:p w14:paraId="450F408F" w14:textId="77777777" w:rsidR="005F1A2A" w:rsidRDefault="006A20A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January 1, 2020, rent stabilization and tenant eviction protections became state law and took effect with the enactment of the Tenant Protection Act. </w:t>
      </w:r>
      <w:r w:rsidR="005F1A2A">
        <w:rPr>
          <w:rFonts w:ascii="Times New Roman" w:hAnsi="Times New Roman" w:cs="Times New Roman"/>
          <w:sz w:val="24"/>
          <w:szCs w:val="24"/>
        </w:rPr>
        <w:t>The Tenant Protection includes the following significant provisions:</w:t>
      </w:r>
    </w:p>
    <w:p w14:paraId="4839E3DD" w14:textId="77777777" w:rsidR="005F1A2A" w:rsidRDefault="005F1A2A" w:rsidP="00E130E8">
      <w:pPr>
        <w:spacing w:after="0" w:line="240" w:lineRule="auto"/>
        <w:jc w:val="both"/>
        <w:rPr>
          <w:rFonts w:ascii="Times New Roman" w:hAnsi="Times New Roman" w:cs="Times New Roman"/>
          <w:sz w:val="24"/>
          <w:szCs w:val="24"/>
        </w:rPr>
      </w:pPr>
    </w:p>
    <w:p w14:paraId="4F1A68C5" w14:textId="3F878435" w:rsidR="006A20A9" w:rsidRDefault="005F1A2A" w:rsidP="005F1A2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applies to units that are more than fifteen years </w:t>
      </w:r>
      <w:proofErr w:type="gramStart"/>
      <w:r>
        <w:rPr>
          <w:rFonts w:ascii="Times New Roman" w:hAnsi="Times New Roman" w:cs="Times New Roman"/>
          <w:sz w:val="24"/>
          <w:szCs w:val="24"/>
        </w:rPr>
        <w:t>old;</w:t>
      </w:r>
      <w:proofErr w:type="gramEnd"/>
    </w:p>
    <w:p w14:paraId="3C67D448" w14:textId="7366B8B2" w:rsidR="005F1A2A" w:rsidRDefault="005F1A2A" w:rsidP="005F1A2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applies to single-family homes and condominiums if those units are owned by a real estate trust or </w:t>
      </w:r>
      <w:proofErr w:type="gramStart"/>
      <w:r>
        <w:rPr>
          <w:rFonts w:ascii="Times New Roman" w:hAnsi="Times New Roman" w:cs="Times New Roman"/>
          <w:sz w:val="24"/>
          <w:szCs w:val="24"/>
        </w:rPr>
        <w:t>corporation;</w:t>
      </w:r>
      <w:proofErr w:type="gramEnd"/>
    </w:p>
    <w:p w14:paraId="25BA53AA" w14:textId="3EBEFB5C" w:rsidR="005F1A2A" w:rsidRDefault="005F1A2A" w:rsidP="005F1A2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establishes a ceiling or cap on rent increases in a twelve-month period of 5% plus inflation (a local Consumer Price Index) not to exceed </w:t>
      </w:r>
      <w:proofErr w:type="gramStart"/>
      <w:r>
        <w:rPr>
          <w:rFonts w:ascii="Times New Roman" w:hAnsi="Times New Roman" w:cs="Times New Roman"/>
          <w:sz w:val="24"/>
          <w:szCs w:val="24"/>
        </w:rPr>
        <w:t>10%;</w:t>
      </w:r>
      <w:proofErr w:type="gramEnd"/>
    </w:p>
    <w:p w14:paraId="6F6C0F31" w14:textId="51345E2A" w:rsidR="005F1A2A" w:rsidRDefault="005F1A2A" w:rsidP="005F1A2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It codifies definitions of “at-fault” and “no-fault” just cause evictions and establishes that when a tenant is evicted under a “no-fault” cause the tenant shall receive compensation equivalent to one month of rent; and</w:t>
      </w:r>
    </w:p>
    <w:p w14:paraId="5593D4ED" w14:textId="2C64B8C4" w:rsidR="005F1A2A" w:rsidRDefault="005F1A2A" w:rsidP="005F1A2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Tenant Protection Act sunsets on January 1, 2030.</w:t>
      </w:r>
    </w:p>
    <w:p w14:paraId="3A3B2207" w14:textId="77777777" w:rsidR="005F1A2A" w:rsidRDefault="005F1A2A" w:rsidP="005F1A2A">
      <w:pPr>
        <w:spacing w:after="0" w:line="240" w:lineRule="auto"/>
        <w:jc w:val="both"/>
        <w:rPr>
          <w:rFonts w:ascii="Times New Roman" w:hAnsi="Times New Roman" w:cs="Times New Roman"/>
          <w:sz w:val="24"/>
          <w:szCs w:val="24"/>
        </w:rPr>
      </w:pPr>
    </w:p>
    <w:p w14:paraId="159B003D" w14:textId="796DFDF0" w:rsidR="005F1A2A" w:rsidRPr="005F1A2A" w:rsidRDefault="005F1A2A" w:rsidP="005F1A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Tenant Protection Act requires no local enforcement. Disputes are resolved among the parties through the legal system.</w:t>
      </w:r>
    </w:p>
    <w:p w14:paraId="22361073" w14:textId="77777777" w:rsidR="00080912" w:rsidRDefault="00080912" w:rsidP="002C54B9">
      <w:pPr>
        <w:spacing w:after="0" w:line="240" w:lineRule="auto"/>
        <w:jc w:val="both"/>
        <w:rPr>
          <w:rFonts w:ascii="Times New Roman" w:hAnsi="Times New Roman" w:cs="Times New Roman"/>
          <w:sz w:val="24"/>
          <w:szCs w:val="24"/>
        </w:rPr>
      </w:pPr>
    </w:p>
    <w:p w14:paraId="52745080" w14:textId="00573A0E" w:rsidR="004C1957" w:rsidRPr="00FB362F" w:rsidRDefault="0073442B" w:rsidP="002C54B9">
      <w:pPr>
        <w:spacing w:after="0" w:line="240" w:lineRule="auto"/>
        <w:jc w:val="both"/>
        <w:rPr>
          <w:rFonts w:ascii="Times New Roman" w:hAnsi="Times New Roman" w:cs="Times New Roman"/>
          <w:b/>
          <w:bCs/>
          <w:sz w:val="24"/>
          <w:szCs w:val="24"/>
          <w:u w:val="single"/>
        </w:rPr>
      </w:pPr>
      <w:r w:rsidRPr="00FB362F">
        <w:rPr>
          <w:rFonts w:ascii="Times New Roman" w:hAnsi="Times New Roman" w:cs="Times New Roman"/>
          <w:b/>
          <w:bCs/>
          <w:sz w:val="24"/>
          <w:szCs w:val="24"/>
          <w:u w:val="single"/>
        </w:rPr>
        <w:t>Rent Stabilization Ordinance.</w:t>
      </w:r>
    </w:p>
    <w:p w14:paraId="11A61129" w14:textId="77777777" w:rsidR="0073442B" w:rsidRDefault="0073442B" w:rsidP="002C54B9">
      <w:pPr>
        <w:spacing w:after="0" w:line="240" w:lineRule="auto"/>
        <w:jc w:val="both"/>
        <w:rPr>
          <w:rFonts w:ascii="Times New Roman" w:hAnsi="Times New Roman" w:cs="Times New Roman"/>
          <w:i/>
          <w:iCs/>
          <w:sz w:val="24"/>
          <w:szCs w:val="24"/>
        </w:rPr>
      </w:pPr>
    </w:p>
    <w:p w14:paraId="0641AC24" w14:textId="7CD6AB77" w:rsidR="005137E5" w:rsidRDefault="00804B03"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Through the community engagement process, many </w:t>
      </w:r>
      <w:proofErr w:type="gramStart"/>
      <w:r>
        <w:rPr>
          <w:rFonts w:ascii="Times New Roman" w:hAnsi="Times New Roman" w:cs="Times New Roman"/>
          <w:sz w:val="24"/>
          <w:szCs w:val="24"/>
        </w:rPr>
        <w:t>local residents</w:t>
      </w:r>
      <w:proofErr w:type="gramEnd"/>
      <w:r>
        <w:rPr>
          <w:rFonts w:ascii="Times New Roman" w:hAnsi="Times New Roman" w:cs="Times New Roman"/>
          <w:sz w:val="24"/>
          <w:szCs w:val="24"/>
        </w:rPr>
        <w:t>, particularly those in low-income households, express</w:t>
      </w:r>
      <w:r w:rsidR="00F36487">
        <w:rPr>
          <w:rFonts w:ascii="Times New Roman" w:hAnsi="Times New Roman" w:cs="Times New Roman"/>
          <w:sz w:val="24"/>
          <w:szCs w:val="24"/>
        </w:rPr>
        <w:t>ed</w:t>
      </w:r>
      <w:r>
        <w:rPr>
          <w:rFonts w:ascii="Times New Roman" w:hAnsi="Times New Roman" w:cs="Times New Roman"/>
          <w:sz w:val="24"/>
          <w:szCs w:val="24"/>
        </w:rPr>
        <w:t xml:space="preserve"> their struggles with paying for rising housing costs and meeting other basic needs such as food, transportation, and health care. The effect of high rents coupled with low incomes, critical shortages of affordable housing, and rapidly rising costs for other </w:t>
      </w:r>
      <w:proofErr w:type="gramStart"/>
      <w:r>
        <w:rPr>
          <w:rFonts w:ascii="Times New Roman" w:hAnsi="Times New Roman" w:cs="Times New Roman"/>
          <w:sz w:val="24"/>
          <w:szCs w:val="24"/>
        </w:rPr>
        <w:t>basic necessities</w:t>
      </w:r>
      <w:proofErr w:type="gramEnd"/>
      <w:r>
        <w:rPr>
          <w:rFonts w:ascii="Times New Roman" w:hAnsi="Times New Roman" w:cs="Times New Roman"/>
          <w:sz w:val="24"/>
          <w:szCs w:val="24"/>
        </w:rPr>
        <w:t xml:space="preserve"> leaves residents vulnerable to economic hardship, housing insecurity and displacement, threatening the public health, safety, and welfare of a substantial number of City residents.</w:t>
      </w:r>
      <w:r w:rsidR="005137E5">
        <w:rPr>
          <w:rFonts w:ascii="Times New Roman" w:hAnsi="Times New Roman" w:cs="Times New Roman"/>
          <w:sz w:val="24"/>
          <w:szCs w:val="24"/>
        </w:rPr>
        <w:t xml:space="preserve"> The</w:t>
      </w:r>
      <w:r w:rsidR="006233A7">
        <w:rPr>
          <w:rFonts w:ascii="Times New Roman" w:hAnsi="Times New Roman" w:cs="Times New Roman"/>
          <w:sz w:val="24"/>
          <w:szCs w:val="24"/>
        </w:rPr>
        <w:t xml:space="preserve"> draft</w:t>
      </w:r>
      <w:r w:rsidR="005137E5">
        <w:rPr>
          <w:rFonts w:ascii="Times New Roman" w:hAnsi="Times New Roman" w:cs="Times New Roman"/>
          <w:sz w:val="24"/>
          <w:szCs w:val="24"/>
        </w:rPr>
        <w:t xml:space="preserve"> Rent Stabilization Ordinance is intended to provide stability with respect to rent increases and housing by establishing additional tenant protections exceeding those set forth in state law. </w:t>
      </w:r>
    </w:p>
    <w:p w14:paraId="06668FB2" w14:textId="77777777" w:rsidR="006233A7" w:rsidRDefault="006233A7" w:rsidP="002C54B9">
      <w:pPr>
        <w:spacing w:after="0" w:line="240" w:lineRule="auto"/>
        <w:jc w:val="both"/>
        <w:rPr>
          <w:rFonts w:ascii="Times New Roman" w:hAnsi="Times New Roman" w:cs="Times New Roman"/>
          <w:sz w:val="24"/>
          <w:szCs w:val="24"/>
        </w:rPr>
      </w:pPr>
    </w:p>
    <w:p w14:paraId="1176509E" w14:textId="262746CE" w:rsidR="006233A7" w:rsidRDefault="006233A7"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Although the terms “rent control” and “rent stabilization” are often used interchangeably, they are distinct. Both regulate the amount of rent that may be increased during a tenancy, but only rent control regulates the amount of rent charged when the tenancy begins. Under rent stabilization, annual increases of a tenant’s rent are limited. However, when a tenant moves out, the initial amount of rent for the next tenant is not restricted.</w:t>
      </w:r>
    </w:p>
    <w:p w14:paraId="200C8B59" w14:textId="6919ADE7" w:rsidR="006233A7" w:rsidRDefault="006233A7"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Cities in California can no longer adopt full rent control, which would regulate the amount of initial rent, due to the Costa-Hawkins Act. Rent control ordinances that existed in 1995 when the Costa-Hawkins Act was adopted were grandfathered, resulting in only a small number of cities within full rent control on certain types and ages of units within those cities. With the Costa-Hawkins Act effectively prohibiting new local rent control, cities which choose to adopt such regulations focus instead on rent stabilization. This type of regulation protects tenants during the tenancies by limiting how much the rent may be increased each year.</w:t>
      </w:r>
    </w:p>
    <w:p w14:paraId="376F22D2" w14:textId="77777777" w:rsidR="006233A7" w:rsidRDefault="006233A7" w:rsidP="002C54B9">
      <w:pPr>
        <w:spacing w:after="0" w:line="240" w:lineRule="auto"/>
        <w:jc w:val="both"/>
        <w:rPr>
          <w:rFonts w:ascii="Times New Roman" w:hAnsi="Times New Roman" w:cs="Times New Roman"/>
          <w:sz w:val="24"/>
          <w:szCs w:val="24"/>
        </w:rPr>
      </w:pPr>
    </w:p>
    <w:p w14:paraId="7CBF1629" w14:textId="570877C8" w:rsidR="006233A7" w:rsidRDefault="006233A7"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Tenant Protection Act enacted statewide rent stabilization. Beginning January 1, 2020, where applicable, rent may be annually increased no more than 5% plus the regional Consumer Price Index (CPI) or 10%, whichever is less.</w:t>
      </w:r>
    </w:p>
    <w:p w14:paraId="36CD0B1B" w14:textId="77777777" w:rsidR="006233A7" w:rsidRDefault="006233A7" w:rsidP="002C54B9">
      <w:pPr>
        <w:spacing w:after="0" w:line="240" w:lineRule="auto"/>
        <w:jc w:val="both"/>
        <w:rPr>
          <w:rFonts w:ascii="Times New Roman" w:hAnsi="Times New Roman" w:cs="Times New Roman"/>
          <w:sz w:val="24"/>
          <w:szCs w:val="24"/>
        </w:rPr>
      </w:pPr>
    </w:p>
    <w:p w14:paraId="0F74C534" w14:textId="009DB3F2" w:rsidR="006233A7" w:rsidRPr="00804B03" w:rsidRDefault="006233A7"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Under the draft Rent Stabilization Ordinance, one increase is allowed per 12-month period. Should the City Council determine to proceed with introduction and adoption of a Rent Stabilization Ordinance, it must provide direction as to the specific amount by which rent may be annually increased. As discussed in the attached report from Economic &amp; Planning Systems, Inc., it is recommended that the City Council set the cap or ceiling at a rate within the following range: 2.5% to 2.75% or 65% to 75% </w:t>
      </w:r>
      <w:r w:rsidR="00703ABB">
        <w:rPr>
          <w:rFonts w:ascii="Times New Roman" w:hAnsi="Times New Roman" w:cs="Times New Roman"/>
          <w:sz w:val="24"/>
          <w:szCs w:val="24"/>
        </w:rPr>
        <w:t>of the Consumer Price Index</w:t>
      </w:r>
      <w:r w:rsidR="00BD35E9">
        <w:rPr>
          <w:rFonts w:ascii="Times New Roman" w:hAnsi="Times New Roman" w:cs="Times New Roman"/>
          <w:sz w:val="24"/>
          <w:szCs w:val="24"/>
        </w:rPr>
        <w:t xml:space="preserve"> </w:t>
      </w:r>
      <w:r w:rsidR="00703ABB">
        <w:rPr>
          <w:rFonts w:ascii="Times New Roman" w:hAnsi="Times New Roman" w:cs="Times New Roman"/>
          <w:sz w:val="24"/>
          <w:szCs w:val="24"/>
        </w:rPr>
        <w:t>for all Urban Consumers (CPI-U) Series Title: All Items in West Urban, all urban consumers, not seasonally adjusted.</w:t>
      </w:r>
    </w:p>
    <w:p w14:paraId="43E44CFC" w14:textId="77777777" w:rsidR="00804B03" w:rsidRDefault="00804B03" w:rsidP="002C54B9">
      <w:pPr>
        <w:spacing w:after="0" w:line="240" w:lineRule="auto"/>
        <w:jc w:val="both"/>
        <w:rPr>
          <w:rFonts w:ascii="Times New Roman" w:hAnsi="Times New Roman" w:cs="Times New Roman"/>
          <w:i/>
          <w:iCs/>
          <w:sz w:val="24"/>
          <w:szCs w:val="24"/>
        </w:rPr>
      </w:pPr>
    </w:p>
    <w:p w14:paraId="5B731F0F" w14:textId="572D8D74" w:rsidR="0016075D" w:rsidRDefault="0016075D" w:rsidP="002C54B9">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Applicability.</w:t>
      </w:r>
    </w:p>
    <w:p w14:paraId="0FF5895E" w14:textId="77777777" w:rsidR="00430E29" w:rsidRDefault="00430E29" w:rsidP="002C54B9">
      <w:pPr>
        <w:spacing w:after="0" w:line="240" w:lineRule="auto"/>
        <w:jc w:val="both"/>
        <w:rPr>
          <w:rFonts w:ascii="Times New Roman" w:hAnsi="Times New Roman" w:cs="Times New Roman"/>
          <w:i/>
          <w:iCs/>
          <w:sz w:val="24"/>
          <w:szCs w:val="24"/>
        </w:rPr>
      </w:pPr>
    </w:p>
    <w:p w14:paraId="70F15553" w14:textId="042E87F6" w:rsidR="00430E29" w:rsidRDefault="00430E29"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Costa-Hawkins Act, except in very limited circumstances, prohibits local restrictions on the amount of rent a landlord can charge at the beginning of a tenancy. For this reason, among others, the City Council should consider whether to adopt a rent stabilization ordinance which regulates rent increases during a tenancy. The Costa-Hawkins Act also significantly restricts which rental units may be subject to local rent stabilization. There are two categories of rental units for which rent increases during a tenancy cannot be regulated by the City Council. The first, with narrow exceptions, is single family homes that do not have an accessory unit, condominiums, and cooperatives. The second category is rental units first receiving a certificate of occupancy after February 1, 1995.</w:t>
      </w:r>
    </w:p>
    <w:p w14:paraId="336277E6" w14:textId="77777777" w:rsidR="00430E29" w:rsidRDefault="00430E29" w:rsidP="002C54B9">
      <w:pPr>
        <w:spacing w:after="0" w:line="240" w:lineRule="auto"/>
        <w:jc w:val="both"/>
        <w:rPr>
          <w:rFonts w:ascii="Times New Roman" w:hAnsi="Times New Roman" w:cs="Times New Roman"/>
          <w:sz w:val="24"/>
          <w:szCs w:val="24"/>
        </w:rPr>
      </w:pPr>
    </w:p>
    <w:p w14:paraId="75E0AB8D" w14:textId="79BA69E6" w:rsidR="00FB5EF1" w:rsidRDefault="00430E29"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Rent Stabilization Ordinance complies with the Costa-Hawkins Act by exempting rental units protected thereunder and regulating rental units constructed on or before February 1, 1995, that share a property with at least one other unit that cannot be sold separately.</w:t>
      </w:r>
      <w:r w:rsidR="00FB5EF1">
        <w:rPr>
          <w:rFonts w:ascii="Times New Roman" w:hAnsi="Times New Roman" w:cs="Times New Roman"/>
          <w:sz w:val="24"/>
          <w:szCs w:val="24"/>
        </w:rPr>
        <w:t xml:space="preserve"> In other words, the Rent Stabilization Ordinance</w:t>
      </w:r>
      <w:r>
        <w:rPr>
          <w:rFonts w:ascii="Times New Roman" w:hAnsi="Times New Roman" w:cs="Times New Roman"/>
          <w:sz w:val="24"/>
          <w:szCs w:val="24"/>
        </w:rPr>
        <w:t xml:space="preserve"> </w:t>
      </w:r>
      <w:r w:rsidR="00FB5EF1">
        <w:rPr>
          <w:rFonts w:ascii="Times New Roman" w:hAnsi="Times New Roman" w:cs="Times New Roman"/>
          <w:sz w:val="24"/>
          <w:szCs w:val="24"/>
        </w:rPr>
        <w:t>would apply to multi-family rental units built before February 1, 1995. Single-family rental units, condominium rental units, multi-family dwelling units built after February 1, 1995, newly constructed dwelling units, and rental units that are deed restricted as affordable housing by a regulatory agreement or similar recorded documents are exempt from the Rent Stabilization Ordinance. The Rent Stabilization Ordinance does not have a minimum residency requirement for its rent-increase protections. The City Council may choose to consider whether to exempt certain rental units from local protection under a rent stabilization ordinance.</w:t>
      </w:r>
    </w:p>
    <w:p w14:paraId="1D0511E2" w14:textId="77777777" w:rsidR="00BD35E9" w:rsidRDefault="00BD35E9" w:rsidP="002C54B9">
      <w:pPr>
        <w:spacing w:after="0" w:line="240" w:lineRule="auto"/>
        <w:jc w:val="both"/>
        <w:rPr>
          <w:rFonts w:ascii="Times New Roman" w:hAnsi="Times New Roman" w:cs="Times New Roman"/>
          <w:sz w:val="24"/>
          <w:szCs w:val="24"/>
        </w:rPr>
      </w:pPr>
    </w:p>
    <w:p w14:paraId="0E3ECF52" w14:textId="77777777" w:rsidR="00FB5EF1" w:rsidRDefault="00FB5EF1" w:rsidP="002C54B9">
      <w:pPr>
        <w:spacing w:after="0" w:line="240" w:lineRule="auto"/>
        <w:jc w:val="both"/>
        <w:rPr>
          <w:rFonts w:ascii="Times New Roman" w:hAnsi="Times New Roman" w:cs="Times New Roman"/>
          <w:sz w:val="24"/>
          <w:szCs w:val="24"/>
        </w:rPr>
      </w:pPr>
    </w:p>
    <w:p w14:paraId="272A3A65" w14:textId="77777777" w:rsidR="00FB5EF1" w:rsidRDefault="00FB5EF1" w:rsidP="002C54B9">
      <w:pPr>
        <w:spacing w:after="0" w:line="240" w:lineRule="auto"/>
        <w:jc w:val="both"/>
        <w:rPr>
          <w:rFonts w:ascii="Times New Roman" w:hAnsi="Times New Roman" w:cs="Times New Roman"/>
          <w:sz w:val="24"/>
          <w:szCs w:val="24"/>
        </w:rPr>
      </w:pPr>
    </w:p>
    <w:p w14:paraId="4CA7E05B" w14:textId="77777777" w:rsidR="00FB5EF1" w:rsidRDefault="00FB5EF1" w:rsidP="002C54B9">
      <w:pPr>
        <w:spacing w:after="0" w:line="240" w:lineRule="auto"/>
        <w:jc w:val="both"/>
        <w:rPr>
          <w:rFonts w:ascii="Times New Roman" w:hAnsi="Times New Roman" w:cs="Times New Roman"/>
          <w:i/>
          <w:iCs/>
          <w:sz w:val="24"/>
          <w:szCs w:val="24"/>
        </w:rPr>
      </w:pPr>
    </w:p>
    <w:p w14:paraId="180477B6" w14:textId="6B6F044E" w:rsidR="002C54B9" w:rsidRDefault="00BD35E9" w:rsidP="002C54B9">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lastRenderedPageBreak/>
        <w:t>Rent Program Fee and Registration Requirement.</w:t>
      </w:r>
    </w:p>
    <w:p w14:paraId="1BCD369F" w14:textId="77777777" w:rsidR="00BD35E9" w:rsidRDefault="00BD35E9" w:rsidP="002C54B9">
      <w:pPr>
        <w:spacing w:after="0" w:line="240" w:lineRule="auto"/>
        <w:jc w:val="both"/>
        <w:rPr>
          <w:rFonts w:ascii="Times New Roman" w:hAnsi="Times New Roman" w:cs="Times New Roman"/>
          <w:i/>
          <w:iCs/>
          <w:sz w:val="24"/>
          <w:szCs w:val="24"/>
        </w:rPr>
      </w:pPr>
    </w:p>
    <w:p w14:paraId="02B2E337" w14:textId="0FB15A43" w:rsidR="00BD35E9" w:rsidRDefault="00BD35E9"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Rent Stabilization Ordinance establishes a regulatory fee charged to landlords to fund the Rent Stabilization Ordinance program for the sole purpose of reimbursing the City for the costs of administering the Rent Stabilization Ordinance. The regulatory fee will be imposed on each rental unit </w:t>
      </w:r>
      <w:r w:rsidR="00F35A81">
        <w:rPr>
          <w:rFonts w:ascii="Times New Roman" w:hAnsi="Times New Roman" w:cs="Times New Roman"/>
          <w:sz w:val="24"/>
          <w:szCs w:val="24"/>
        </w:rPr>
        <w:t>which must be</w:t>
      </w:r>
      <w:r>
        <w:rPr>
          <w:rFonts w:ascii="Times New Roman" w:hAnsi="Times New Roman" w:cs="Times New Roman"/>
          <w:sz w:val="24"/>
          <w:szCs w:val="24"/>
        </w:rPr>
        <w:t xml:space="preserve"> paid by landlords and not passed through to the tenants. Landlords subject to this Rent Stabilization Ordinance </w:t>
      </w:r>
      <w:r w:rsidR="002D7571">
        <w:rPr>
          <w:rFonts w:ascii="Times New Roman" w:hAnsi="Times New Roman" w:cs="Times New Roman"/>
          <w:sz w:val="24"/>
          <w:szCs w:val="24"/>
        </w:rPr>
        <w:t>must continue</w:t>
      </w:r>
      <w:r>
        <w:rPr>
          <w:rFonts w:ascii="Times New Roman" w:hAnsi="Times New Roman" w:cs="Times New Roman"/>
          <w:sz w:val="24"/>
          <w:szCs w:val="24"/>
        </w:rPr>
        <w:t xml:space="preserve"> to register all units on the City’s Rental Registry. The City Council should consider whether to establish a single program fee to cover both the Rental Registry and the Rent Stabilization Ordinance. The Rent Program Fee will come forward to the City Council through a recommended resolution.</w:t>
      </w:r>
    </w:p>
    <w:p w14:paraId="69CB4ED8" w14:textId="77777777" w:rsidR="006E68F5" w:rsidRDefault="006E68F5" w:rsidP="002C54B9">
      <w:pPr>
        <w:spacing w:after="0" w:line="240" w:lineRule="auto"/>
        <w:jc w:val="both"/>
        <w:rPr>
          <w:rFonts w:ascii="Times New Roman" w:hAnsi="Times New Roman" w:cs="Times New Roman"/>
          <w:sz w:val="24"/>
          <w:szCs w:val="24"/>
        </w:rPr>
      </w:pPr>
    </w:p>
    <w:p w14:paraId="0F05FC1A" w14:textId="206C207D" w:rsidR="006E68F5" w:rsidRDefault="006E68F5" w:rsidP="002C54B9">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Tenant Petition for Rent Reduction; Landlord Petition for Rent Increase</w:t>
      </w:r>
      <w:r w:rsidR="000207FA">
        <w:rPr>
          <w:rFonts w:ascii="Times New Roman" w:hAnsi="Times New Roman" w:cs="Times New Roman"/>
          <w:i/>
          <w:iCs/>
          <w:sz w:val="24"/>
          <w:szCs w:val="24"/>
        </w:rPr>
        <w:t>; Capital Improvements.</w:t>
      </w:r>
    </w:p>
    <w:p w14:paraId="063280B3" w14:textId="77777777" w:rsidR="006E68F5" w:rsidRDefault="006E68F5" w:rsidP="002C54B9">
      <w:pPr>
        <w:spacing w:after="0" w:line="240" w:lineRule="auto"/>
        <w:jc w:val="both"/>
        <w:rPr>
          <w:rFonts w:ascii="Times New Roman" w:hAnsi="Times New Roman" w:cs="Times New Roman"/>
          <w:i/>
          <w:iCs/>
          <w:sz w:val="24"/>
          <w:szCs w:val="24"/>
        </w:rPr>
      </w:pPr>
    </w:p>
    <w:p w14:paraId="7EF8F857" w14:textId="38AEA98A" w:rsidR="006E68F5" w:rsidRDefault="006E68F5"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w:t>
      </w:r>
      <w:r w:rsidR="002D7571">
        <w:rPr>
          <w:rFonts w:ascii="Times New Roman" w:hAnsi="Times New Roman" w:cs="Times New Roman"/>
          <w:sz w:val="24"/>
          <w:szCs w:val="24"/>
        </w:rPr>
        <w:t>e</w:t>
      </w:r>
      <w:r>
        <w:rPr>
          <w:rFonts w:ascii="Times New Roman" w:hAnsi="Times New Roman" w:cs="Times New Roman"/>
          <w:sz w:val="24"/>
          <w:szCs w:val="24"/>
        </w:rPr>
        <w:t xml:space="preserve"> Rent Stabilization Ordinance also offers a procedure for accommodating certain tenant requests for rent reductions and landlord requests for increases in rent above the established limit if needed to comply with the constitutional right of “fair return.” The Rent Stabilization Ordinance establishes a petition process that is reviewed and determined by a Hearing Officer identified by the City Attorney.</w:t>
      </w:r>
    </w:p>
    <w:p w14:paraId="634C2AFF" w14:textId="77777777" w:rsidR="006E68F5" w:rsidRDefault="006E68F5" w:rsidP="002C54B9">
      <w:pPr>
        <w:spacing w:after="0" w:line="240" w:lineRule="auto"/>
        <w:jc w:val="both"/>
        <w:rPr>
          <w:rFonts w:ascii="Times New Roman" w:hAnsi="Times New Roman" w:cs="Times New Roman"/>
          <w:sz w:val="24"/>
          <w:szCs w:val="24"/>
        </w:rPr>
      </w:pPr>
    </w:p>
    <w:p w14:paraId="198FFBD9" w14:textId="35926699" w:rsidR="006E68F5" w:rsidRDefault="006E68F5"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tenant may petition for a reduction of rent (“Rent Reduction Petition”) if the tenant believes the landlord has charged the tenant a higher rent than is permitted by the Rent Stabilization Ordinance. The landlord shall be informed of the tenant’s complaint and shall have the opportunity to respond to the tenant’s claim of rent overcharge.</w:t>
      </w:r>
      <w:r w:rsidR="000207FA">
        <w:rPr>
          <w:rFonts w:ascii="Times New Roman" w:hAnsi="Times New Roman" w:cs="Times New Roman"/>
          <w:sz w:val="24"/>
          <w:szCs w:val="24"/>
        </w:rPr>
        <w:t xml:space="preserve"> A reduction in housing services or failure to maintain the rental unit in a habitable condition may be cause for a reduction in rent pursuant to the petition process. The tenant has the burden of demonstrating that a rent reduction is necessary to comply with the Rent Stabilization Ordinance. The Hearing Officer has sixty (60) days to </w:t>
      </w:r>
      <w:proofErr w:type="gramStart"/>
      <w:r w:rsidR="000207FA">
        <w:rPr>
          <w:rFonts w:ascii="Times New Roman" w:hAnsi="Times New Roman" w:cs="Times New Roman"/>
          <w:sz w:val="24"/>
          <w:szCs w:val="24"/>
        </w:rPr>
        <w:t>make a decision</w:t>
      </w:r>
      <w:proofErr w:type="gramEnd"/>
      <w:r w:rsidR="000207FA">
        <w:rPr>
          <w:rFonts w:ascii="Times New Roman" w:hAnsi="Times New Roman" w:cs="Times New Roman"/>
          <w:sz w:val="24"/>
          <w:szCs w:val="24"/>
        </w:rPr>
        <w:t xml:space="preserve"> on a Rent Reduction Petition. The Hearing Officer’s decisions are appealable to the City Council.</w:t>
      </w:r>
    </w:p>
    <w:p w14:paraId="04BE4F3B" w14:textId="77777777" w:rsidR="000207FA" w:rsidRDefault="000207FA" w:rsidP="002C54B9">
      <w:pPr>
        <w:spacing w:after="0" w:line="240" w:lineRule="auto"/>
        <w:jc w:val="both"/>
        <w:rPr>
          <w:rFonts w:ascii="Times New Roman" w:hAnsi="Times New Roman" w:cs="Times New Roman"/>
          <w:sz w:val="24"/>
          <w:szCs w:val="24"/>
        </w:rPr>
      </w:pPr>
    </w:p>
    <w:p w14:paraId="4F8B81D3" w14:textId="2DDEB6D2" w:rsidR="000207FA" w:rsidRDefault="000207FA"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landlord may petition for a rent increase </w:t>
      </w:r>
      <w:proofErr w:type="gramStart"/>
      <w:r>
        <w:rPr>
          <w:rFonts w:ascii="Times New Roman" w:hAnsi="Times New Roman" w:cs="Times New Roman"/>
          <w:sz w:val="24"/>
          <w:szCs w:val="24"/>
        </w:rPr>
        <w:t>in excess of</w:t>
      </w:r>
      <w:proofErr w:type="gramEnd"/>
      <w:r>
        <w:rPr>
          <w:rFonts w:ascii="Times New Roman" w:hAnsi="Times New Roman" w:cs="Times New Roman"/>
          <w:sz w:val="24"/>
          <w:szCs w:val="24"/>
        </w:rPr>
        <w:t xml:space="preserve"> that provided in the Rent Stabilization Ordinance in order to obtain a fair and reasonable return on the landlord property (“Fair Return Petition”). The landlord will be required to provide a copy of the Fair Return Petition to the City and to the tenants. The landlord has the burden of establishing that a rent increase</w:t>
      </w:r>
      <w:r w:rsidR="00522128">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in excess of</w:t>
      </w:r>
      <w:proofErr w:type="gramEnd"/>
      <w:r>
        <w:rPr>
          <w:rFonts w:ascii="Times New Roman" w:hAnsi="Times New Roman" w:cs="Times New Roman"/>
          <w:sz w:val="24"/>
          <w:szCs w:val="24"/>
        </w:rPr>
        <w:t xml:space="preserve"> that permitted in the Rent Stabilization Ordinance</w:t>
      </w:r>
      <w:r w:rsidR="00522128">
        <w:rPr>
          <w:rFonts w:ascii="Times New Roman" w:hAnsi="Times New Roman" w:cs="Times New Roman"/>
          <w:sz w:val="24"/>
          <w:szCs w:val="24"/>
        </w:rPr>
        <w:t>,</w:t>
      </w:r>
      <w:r>
        <w:rPr>
          <w:rFonts w:ascii="Times New Roman" w:hAnsi="Times New Roman" w:cs="Times New Roman"/>
          <w:sz w:val="24"/>
          <w:szCs w:val="24"/>
        </w:rPr>
        <w:t xml:space="preserve"> is necessary to provide the landlord with a fair and reasonable return on the property. The landlord will be responsible for all costs associated with the City’s review of the Fair Return Petition. A Fair Return Petition shall be decided by the Hearing Officer within ninety (90) days. The Hearing Officer’s decisions are appealable to the City Council.</w:t>
      </w:r>
    </w:p>
    <w:p w14:paraId="4B4D0B4A" w14:textId="77777777" w:rsidR="000207FA" w:rsidRDefault="000207FA" w:rsidP="002C54B9">
      <w:pPr>
        <w:spacing w:after="0" w:line="240" w:lineRule="auto"/>
        <w:jc w:val="both"/>
        <w:rPr>
          <w:rFonts w:ascii="Times New Roman" w:hAnsi="Times New Roman" w:cs="Times New Roman"/>
          <w:sz w:val="24"/>
          <w:szCs w:val="24"/>
        </w:rPr>
      </w:pPr>
    </w:p>
    <w:p w14:paraId="3462718A" w14:textId="7095DFB4" w:rsidR="000207FA" w:rsidRPr="006E68F5" w:rsidRDefault="000207FA"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Landlords also have the opportunity under the Rent Stabilization Ordinance to use the Fair Return Petition process to petition the City for a pass through of certain capital improvement costs to the tenants. Should the City Council adopt the Rent Stabilization Ordinance, regulations will be developed to establish the process for a landlord to petition for pass through of capital improvement costs.</w:t>
      </w:r>
    </w:p>
    <w:p w14:paraId="6D654559" w14:textId="77777777" w:rsidR="00D04512" w:rsidRDefault="00D04512" w:rsidP="002C54B9">
      <w:pPr>
        <w:spacing w:after="0" w:line="240" w:lineRule="auto"/>
        <w:jc w:val="both"/>
        <w:rPr>
          <w:rFonts w:ascii="Times New Roman" w:hAnsi="Times New Roman" w:cs="Times New Roman"/>
          <w:sz w:val="24"/>
          <w:szCs w:val="24"/>
        </w:rPr>
      </w:pPr>
    </w:p>
    <w:p w14:paraId="7E30186E" w14:textId="77777777" w:rsidR="00D04512" w:rsidRDefault="00D04512" w:rsidP="002C54B9">
      <w:pPr>
        <w:spacing w:after="0" w:line="240" w:lineRule="auto"/>
        <w:jc w:val="both"/>
        <w:rPr>
          <w:rFonts w:ascii="Times New Roman" w:hAnsi="Times New Roman" w:cs="Times New Roman"/>
          <w:sz w:val="24"/>
          <w:szCs w:val="24"/>
        </w:rPr>
      </w:pPr>
    </w:p>
    <w:p w14:paraId="510573F1" w14:textId="77777777" w:rsidR="00D04512" w:rsidRDefault="00D04512" w:rsidP="002C54B9">
      <w:pPr>
        <w:spacing w:after="0" w:line="240" w:lineRule="auto"/>
        <w:jc w:val="both"/>
        <w:rPr>
          <w:rFonts w:ascii="Times New Roman" w:hAnsi="Times New Roman" w:cs="Times New Roman"/>
          <w:i/>
          <w:iCs/>
          <w:sz w:val="24"/>
          <w:szCs w:val="24"/>
        </w:rPr>
      </w:pPr>
    </w:p>
    <w:p w14:paraId="65BF7378" w14:textId="56C2A96A" w:rsidR="0073442B" w:rsidRPr="00FB362F" w:rsidRDefault="0073442B" w:rsidP="002C54B9">
      <w:pPr>
        <w:spacing w:after="0" w:line="240" w:lineRule="auto"/>
        <w:jc w:val="both"/>
        <w:rPr>
          <w:rFonts w:ascii="Times New Roman" w:hAnsi="Times New Roman" w:cs="Times New Roman"/>
          <w:b/>
          <w:bCs/>
          <w:sz w:val="24"/>
          <w:szCs w:val="24"/>
          <w:u w:val="single"/>
        </w:rPr>
      </w:pPr>
      <w:r w:rsidRPr="00FB362F">
        <w:rPr>
          <w:rFonts w:ascii="Times New Roman" w:hAnsi="Times New Roman" w:cs="Times New Roman"/>
          <w:b/>
          <w:bCs/>
          <w:sz w:val="24"/>
          <w:szCs w:val="24"/>
          <w:u w:val="single"/>
        </w:rPr>
        <w:lastRenderedPageBreak/>
        <w:t>Tenant Protection and Just Cause Eviction</w:t>
      </w:r>
      <w:r w:rsidR="00FB362F" w:rsidRPr="00FB362F">
        <w:rPr>
          <w:rFonts w:ascii="Times New Roman" w:hAnsi="Times New Roman" w:cs="Times New Roman"/>
          <w:b/>
          <w:bCs/>
          <w:sz w:val="24"/>
          <w:szCs w:val="24"/>
          <w:u w:val="single"/>
        </w:rPr>
        <w:t xml:space="preserve"> Ordinance</w:t>
      </w:r>
      <w:r w:rsidRPr="00FB362F">
        <w:rPr>
          <w:rFonts w:ascii="Times New Roman" w:hAnsi="Times New Roman" w:cs="Times New Roman"/>
          <w:b/>
          <w:bCs/>
          <w:sz w:val="24"/>
          <w:szCs w:val="24"/>
          <w:u w:val="single"/>
        </w:rPr>
        <w:t>.</w:t>
      </w:r>
    </w:p>
    <w:p w14:paraId="5C63D810" w14:textId="1C9B6B32" w:rsidR="0073442B" w:rsidRDefault="0073442B" w:rsidP="002C54B9">
      <w:pPr>
        <w:spacing w:after="0" w:line="240" w:lineRule="auto"/>
        <w:jc w:val="both"/>
        <w:rPr>
          <w:rFonts w:ascii="Times New Roman" w:hAnsi="Times New Roman" w:cs="Times New Roman"/>
          <w:i/>
          <w:iCs/>
          <w:sz w:val="24"/>
          <w:szCs w:val="24"/>
        </w:rPr>
      </w:pPr>
    </w:p>
    <w:p w14:paraId="6BAAC3B0" w14:textId="1913CF7D" w:rsidR="00B516C9" w:rsidRDefault="00B516C9"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Eviction protections are generally </w:t>
      </w:r>
      <w:r w:rsidR="00946FFD">
        <w:rPr>
          <w:rFonts w:ascii="Times New Roman" w:hAnsi="Times New Roman" w:cs="Times New Roman"/>
          <w:sz w:val="24"/>
          <w:szCs w:val="24"/>
        </w:rPr>
        <w:t xml:space="preserve">viewed as </w:t>
      </w:r>
      <w:r w:rsidR="0016075D">
        <w:rPr>
          <w:rFonts w:ascii="Times New Roman" w:hAnsi="Times New Roman" w:cs="Times New Roman"/>
          <w:sz w:val="24"/>
          <w:szCs w:val="24"/>
        </w:rPr>
        <w:t>a necessary complement to rent stabilization protections because they mitigate the incentive to evict for the purpose of increasing a rental unit’s rent to market rate. Some cities do not choose to approve a tenant protection and just cause eviction ordinance without also adopting a local rent stabilization ordinance.</w:t>
      </w:r>
    </w:p>
    <w:p w14:paraId="61F22BC3" w14:textId="77777777" w:rsidR="0016075D" w:rsidRDefault="0016075D" w:rsidP="002C54B9">
      <w:pPr>
        <w:spacing w:after="0" w:line="240" w:lineRule="auto"/>
        <w:jc w:val="both"/>
        <w:rPr>
          <w:rFonts w:ascii="Times New Roman" w:hAnsi="Times New Roman" w:cs="Times New Roman"/>
          <w:sz w:val="24"/>
          <w:szCs w:val="24"/>
        </w:rPr>
      </w:pPr>
    </w:p>
    <w:p w14:paraId="6989A925" w14:textId="3145BD5F" w:rsidR="0016075D" w:rsidRDefault="0016075D"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Tenant Protection Act codified certain eviction protections as state law, Under the Tenant Protection Act, there are two categories of “just cause” for eviction; an eviction cannot occur without there being just cause: “At Fault” and “No Fault.” Generally, a tenant is “at fault” when they violate the terms of the lease or prevailing law. A “no fault” eviction takes place when a tenant is evicted for allowable reasons that are beyond control of the tenant. Under the Tenant Protection Act, the following are identified as the “at fault” reasons why a tenant may be evicted:</w:t>
      </w:r>
    </w:p>
    <w:p w14:paraId="2463A0B4" w14:textId="77777777" w:rsidR="0016075D" w:rsidRDefault="0016075D" w:rsidP="002C54B9">
      <w:pPr>
        <w:spacing w:after="0" w:line="240" w:lineRule="auto"/>
        <w:jc w:val="both"/>
        <w:rPr>
          <w:rFonts w:ascii="Times New Roman" w:hAnsi="Times New Roman" w:cs="Times New Roman"/>
          <w:sz w:val="24"/>
          <w:szCs w:val="24"/>
        </w:rPr>
      </w:pPr>
    </w:p>
    <w:p w14:paraId="7F1B9E1B" w14:textId="1BC58AA0"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Non-payment of </w:t>
      </w:r>
      <w:proofErr w:type="gramStart"/>
      <w:r>
        <w:rPr>
          <w:rFonts w:ascii="Times New Roman" w:hAnsi="Times New Roman" w:cs="Times New Roman"/>
          <w:sz w:val="24"/>
          <w:szCs w:val="24"/>
        </w:rPr>
        <w:t>rent;</w:t>
      </w:r>
      <w:proofErr w:type="gramEnd"/>
      <w:r>
        <w:rPr>
          <w:rFonts w:ascii="Times New Roman" w:hAnsi="Times New Roman" w:cs="Times New Roman"/>
          <w:sz w:val="24"/>
          <w:szCs w:val="24"/>
        </w:rPr>
        <w:t xml:space="preserve"> </w:t>
      </w:r>
    </w:p>
    <w:p w14:paraId="04B2B207" w14:textId="0DB4B6F9"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Breach of a material term of the rental agreement that has not been corrected after written </w:t>
      </w:r>
      <w:proofErr w:type="gramStart"/>
      <w:r>
        <w:rPr>
          <w:rFonts w:ascii="Times New Roman" w:hAnsi="Times New Roman" w:cs="Times New Roman"/>
          <w:sz w:val="24"/>
          <w:szCs w:val="24"/>
        </w:rPr>
        <w:t>notice;</w:t>
      </w:r>
      <w:proofErr w:type="gramEnd"/>
    </w:p>
    <w:p w14:paraId="1EFCB58B" w14:textId="24AE75A8"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Maintaining or committing a </w:t>
      </w:r>
      <w:proofErr w:type="gramStart"/>
      <w:r>
        <w:rPr>
          <w:rFonts w:ascii="Times New Roman" w:hAnsi="Times New Roman" w:cs="Times New Roman"/>
          <w:sz w:val="24"/>
          <w:szCs w:val="24"/>
        </w:rPr>
        <w:t>nuisance;</w:t>
      </w:r>
      <w:proofErr w:type="gramEnd"/>
    </w:p>
    <w:p w14:paraId="4C51330F" w14:textId="254FF2B1"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Maintaining or committing </w:t>
      </w:r>
      <w:proofErr w:type="gramStart"/>
      <w:r>
        <w:rPr>
          <w:rFonts w:ascii="Times New Roman" w:hAnsi="Times New Roman" w:cs="Times New Roman"/>
          <w:sz w:val="24"/>
          <w:szCs w:val="24"/>
        </w:rPr>
        <w:t>waste;</w:t>
      </w:r>
      <w:proofErr w:type="gramEnd"/>
    </w:p>
    <w:p w14:paraId="2BA28BB5" w14:textId="7DBBFB05"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Termination of the rental agreement without renewal (i.e., the tenant refuses to sign a written extension or renewal after written request or demand from the owner</w:t>
      </w:r>
      <w:proofErr w:type="gramStart"/>
      <w:r>
        <w:rPr>
          <w:rFonts w:ascii="Times New Roman" w:hAnsi="Times New Roman" w:cs="Times New Roman"/>
          <w:sz w:val="24"/>
          <w:szCs w:val="24"/>
        </w:rPr>
        <w:t>);</w:t>
      </w:r>
      <w:proofErr w:type="gramEnd"/>
    </w:p>
    <w:p w14:paraId="4061F9C1" w14:textId="016CD08C"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Criminal activity by the </w:t>
      </w:r>
      <w:proofErr w:type="gramStart"/>
      <w:r>
        <w:rPr>
          <w:rFonts w:ascii="Times New Roman" w:hAnsi="Times New Roman" w:cs="Times New Roman"/>
          <w:sz w:val="24"/>
          <w:szCs w:val="24"/>
        </w:rPr>
        <w:t>tenant;</w:t>
      </w:r>
      <w:proofErr w:type="gramEnd"/>
    </w:p>
    <w:p w14:paraId="14820313" w14:textId="273DA8C1"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Unapproved </w:t>
      </w:r>
      <w:proofErr w:type="gramStart"/>
      <w:r>
        <w:rPr>
          <w:rFonts w:ascii="Times New Roman" w:hAnsi="Times New Roman" w:cs="Times New Roman"/>
          <w:sz w:val="24"/>
          <w:szCs w:val="24"/>
        </w:rPr>
        <w:t>subtenant;</w:t>
      </w:r>
      <w:proofErr w:type="gramEnd"/>
    </w:p>
    <w:p w14:paraId="53E8568B" w14:textId="15AE6334"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tenant has refused to give the landlord access to the rental unit as permitted by </w:t>
      </w:r>
      <w:proofErr w:type="gramStart"/>
      <w:r>
        <w:rPr>
          <w:rFonts w:ascii="Times New Roman" w:hAnsi="Times New Roman" w:cs="Times New Roman"/>
          <w:sz w:val="24"/>
          <w:szCs w:val="24"/>
        </w:rPr>
        <w:t>law;</w:t>
      </w:r>
      <w:proofErr w:type="gramEnd"/>
    </w:p>
    <w:p w14:paraId="1DBC4EE7" w14:textId="4FFE958F"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Illegal use of the </w:t>
      </w:r>
      <w:proofErr w:type="gramStart"/>
      <w:r>
        <w:rPr>
          <w:rFonts w:ascii="Times New Roman" w:hAnsi="Times New Roman" w:cs="Times New Roman"/>
          <w:sz w:val="24"/>
          <w:szCs w:val="24"/>
        </w:rPr>
        <w:t>unit;</w:t>
      </w:r>
      <w:proofErr w:type="gramEnd"/>
    </w:p>
    <w:p w14:paraId="7BB0B7AE" w14:textId="48FAD6A1"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Failure to vacate after termination of employment or agency as described in state law; and</w:t>
      </w:r>
    </w:p>
    <w:p w14:paraId="1EB932FB" w14:textId="24503603" w:rsidR="0016075D" w:rsidRDefault="0016075D" w:rsidP="0016075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Failure to deliver possession after the tenant provides written notice of intent to vacate or makes a written offer of surrender that is accepted by the landlord.</w:t>
      </w:r>
    </w:p>
    <w:p w14:paraId="682C176C" w14:textId="77777777" w:rsidR="0016075D" w:rsidRDefault="0016075D" w:rsidP="0016075D">
      <w:pPr>
        <w:spacing w:after="0" w:line="240" w:lineRule="auto"/>
        <w:jc w:val="both"/>
        <w:rPr>
          <w:rFonts w:ascii="Times New Roman" w:hAnsi="Times New Roman" w:cs="Times New Roman"/>
          <w:sz w:val="24"/>
          <w:szCs w:val="24"/>
        </w:rPr>
      </w:pPr>
    </w:p>
    <w:p w14:paraId="46288309" w14:textId="217D09CC" w:rsidR="0016075D" w:rsidRDefault="0016075D" w:rsidP="001607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following are identified as the “no fault” reasons why a tenant may be evicted:</w:t>
      </w:r>
    </w:p>
    <w:p w14:paraId="3CBB96AF" w14:textId="77777777" w:rsidR="0016075D" w:rsidRDefault="0016075D" w:rsidP="0016075D">
      <w:pPr>
        <w:spacing w:after="0" w:line="240" w:lineRule="auto"/>
        <w:jc w:val="both"/>
        <w:rPr>
          <w:rFonts w:ascii="Times New Roman" w:hAnsi="Times New Roman" w:cs="Times New Roman"/>
          <w:sz w:val="24"/>
          <w:szCs w:val="24"/>
        </w:rPr>
      </w:pPr>
    </w:p>
    <w:p w14:paraId="33CF28C5" w14:textId="0E8A4A0C" w:rsidR="00C97602" w:rsidRDefault="0016075D" w:rsidP="00C97602">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owner, spouse, domestic partner, children, </w:t>
      </w:r>
      <w:r w:rsidR="00C97602">
        <w:rPr>
          <w:rFonts w:ascii="Times New Roman" w:hAnsi="Times New Roman" w:cs="Times New Roman"/>
          <w:sz w:val="24"/>
          <w:szCs w:val="24"/>
        </w:rPr>
        <w:t xml:space="preserve">grandchildren, </w:t>
      </w:r>
      <w:proofErr w:type="gramStart"/>
      <w:r w:rsidR="00C97602">
        <w:rPr>
          <w:rFonts w:ascii="Times New Roman" w:hAnsi="Times New Roman" w:cs="Times New Roman"/>
          <w:sz w:val="24"/>
          <w:szCs w:val="24"/>
        </w:rPr>
        <w:t>parents</w:t>
      </w:r>
      <w:proofErr w:type="gramEnd"/>
      <w:r w:rsidR="00C97602">
        <w:rPr>
          <w:rFonts w:ascii="Times New Roman" w:hAnsi="Times New Roman" w:cs="Times New Roman"/>
          <w:sz w:val="24"/>
          <w:szCs w:val="24"/>
        </w:rPr>
        <w:t xml:space="preserve"> or grandparents intends to occupy the Rental Unit. (For new or renewed leases entered into on or after July 1, 2020, the tenant must agree to this in writing.</w:t>
      </w:r>
      <w:proofErr w:type="gramStart"/>
      <w:r w:rsidR="00C97602">
        <w:rPr>
          <w:rFonts w:ascii="Times New Roman" w:hAnsi="Times New Roman" w:cs="Times New Roman"/>
          <w:sz w:val="24"/>
          <w:szCs w:val="24"/>
        </w:rPr>
        <w:t>);</w:t>
      </w:r>
      <w:proofErr w:type="gramEnd"/>
    </w:p>
    <w:p w14:paraId="4F2AE44B" w14:textId="6B7151FF" w:rsidR="00C97602" w:rsidRDefault="00C97602" w:rsidP="00C97602">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Withdrawal of the rental unit from the rental </w:t>
      </w:r>
      <w:proofErr w:type="gramStart"/>
      <w:r>
        <w:rPr>
          <w:rFonts w:ascii="Times New Roman" w:hAnsi="Times New Roman" w:cs="Times New Roman"/>
          <w:sz w:val="24"/>
          <w:szCs w:val="24"/>
        </w:rPr>
        <w:t>market;</w:t>
      </w:r>
      <w:proofErr w:type="gramEnd"/>
    </w:p>
    <w:p w14:paraId="08DF344F" w14:textId="4AF90110" w:rsidR="00C97602" w:rsidRDefault="00C97602" w:rsidP="00C97602">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Compliance with a government or court order or local ordinance that necessitates vacating the premises; and</w:t>
      </w:r>
    </w:p>
    <w:p w14:paraId="24570F35" w14:textId="27C81BA4" w:rsidR="00C97602" w:rsidRDefault="00C97602" w:rsidP="00C97602">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Demolition or substantial remodel of the rental unit.</w:t>
      </w:r>
    </w:p>
    <w:p w14:paraId="195A0809" w14:textId="77777777" w:rsidR="00703ABB" w:rsidRDefault="00703ABB" w:rsidP="00703ABB">
      <w:pPr>
        <w:pStyle w:val="ListParagraph"/>
        <w:spacing w:after="0" w:line="240" w:lineRule="auto"/>
        <w:jc w:val="both"/>
        <w:rPr>
          <w:rFonts w:ascii="Times New Roman" w:hAnsi="Times New Roman" w:cs="Times New Roman"/>
          <w:sz w:val="24"/>
          <w:szCs w:val="24"/>
        </w:rPr>
      </w:pPr>
    </w:p>
    <w:p w14:paraId="22BBE8DF" w14:textId="64C6248E" w:rsidR="00C97602" w:rsidRDefault="00C97602" w:rsidP="00C976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Tenant Protection Act provides for relocation assistance equal to one month of rent either paid directly to the tenant or waived by the landlord, in the event of a no-fault eviction. Relocation benefits are not required for at-fault evictions.</w:t>
      </w:r>
    </w:p>
    <w:p w14:paraId="4EB723EE" w14:textId="77777777" w:rsidR="00C97602" w:rsidRDefault="00C97602" w:rsidP="00C97602">
      <w:pPr>
        <w:spacing w:after="0" w:line="240" w:lineRule="auto"/>
        <w:jc w:val="both"/>
        <w:rPr>
          <w:rFonts w:ascii="Times New Roman" w:hAnsi="Times New Roman" w:cs="Times New Roman"/>
          <w:sz w:val="24"/>
          <w:szCs w:val="24"/>
        </w:rPr>
      </w:pPr>
    </w:p>
    <w:p w14:paraId="559F370E" w14:textId="08B328AD" w:rsidR="00444F07" w:rsidRPr="00444F07" w:rsidRDefault="00C97602" w:rsidP="00444F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w:t>
      </w:r>
      <w:r w:rsidR="00211ED7">
        <w:rPr>
          <w:rFonts w:ascii="Times New Roman" w:hAnsi="Times New Roman" w:cs="Times New Roman"/>
          <w:sz w:val="24"/>
          <w:szCs w:val="24"/>
        </w:rPr>
        <w:t xml:space="preserve"> </w:t>
      </w:r>
      <w:r>
        <w:rPr>
          <w:rFonts w:ascii="Times New Roman" w:hAnsi="Times New Roman" w:cs="Times New Roman"/>
          <w:sz w:val="24"/>
          <w:szCs w:val="24"/>
        </w:rPr>
        <w:t>Tenant Protection and Just Cause Eviction Ordinance creates local regulations that strengthen the Tenant Protection Act. Following are the significant elements of the draft Tenant Protection and Just Cause Eviction Ordinance</w:t>
      </w:r>
      <w:r w:rsidR="00444F07">
        <w:rPr>
          <w:rFonts w:ascii="Times New Roman" w:hAnsi="Times New Roman" w:cs="Times New Roman"/>
          <w:sz w:val="24"/>
          <w:szCs w:val="24"/>
        </w:rPr>
        <w:t xml:space="preserve">. </w:t>
      </w:r>
      <w:r w:rsidR="00D04512" w:rsidRPr="00444F07">
        <w:rPr>
          <w:rFonts w:ascii="Times New Roman" w:hAnsi="Times New Roman" w:cs="Times New Roman"/>
          <w:sz w:val="24"/>
          <w:szCs w:val="24"/>
        </w:rPr>
        <w:t xml:space="preserve">The ordinance applies to all rental units in the city, except </w:t>
      </w:r>
      <w:r w:rsidR="00D04512" w:rsidRPr="00444F07">
        <w:rPr>
          <w:rFonts w:ascii="Times New Roman" w:hAnsi="Times New Roman" w:cs="Times New Roman"/>
          <w:sz w:val="24"/>
          <w:szCs w:val="24"/>
        </w:rPr>
        <w:lastRenderedPageBreak/>
        <w:t>those specifically exempted. Certain transient units</w:t>
      </w:r>
      <w:r w:rsidR="00444F07" w:rsidRPr="00444F07">
        <w:rPr>
          <w:rFonts w:ascii="Times New Roman" w:hAnsi="Times New Roman" w:cs="Times New Roman"/>
          <w:sz w:val="24"/>
          <w:szCs w:val="24"/>
        </w:rPr>
        <w:t>, units within institutional facilities, and units within properties where the owner also maintains their primary residence are exempt (Sec. 17-02.52(b).)</w:t>
      </w:r>
    </w:p>
    <w:p w14:paraId="0CF29D61" w14:textId="77777777" w:rsidR="00444F07" w:rsidRDefault="00444F07" w:rsidP="00444F07">
      <w:pPr>
        <w:spacing w:after="0" w:line="240" w:lineRule="auto"/>
        <w:jc w:val="both"/>
        <w:rPr>
          <w:rFonts w:ascii="Times New Roman" w:hAnsi="Times New Roman" w:cs="Times New Roman"/>
          <w:sz w:val="24"/>
          <w:szCs w:val="24"/>
        </w:rPr>
      </w:pPr>
    </w:p>
    <w:p w14:paraId="6C931719" w14:textId="3B6777B5" w:rsidR="00444F07" w:rsidRDefault="00444F07" w:rsidP="00444F07">
      <w:pPr>
        <w:spacing w:after="0" w:line="240" w:lineRule="auto"/>
        <w:jc w:val="both"/>
        <w:rPr>
          <w:rFonts w:ascii="Times New Roman" w:hAnsi="Times New Roman" w:cs="Times New Roman"/>
          <w:sz w:val="24"/>
          <w:szCs w:val="24"/>
        </w:rPr>
      </w:pPr>
      <w:r w:rsidRPr="00444F07">
        <w:rPr>
          <w:rFonts w:ascii="Times New Roman" w:hAnsi="Times New Roman" w:cs="Times New Roman"/>
          <w:sz w:val="24"/>
          <w:szCs w:val="24"/>
        </w:rPr>
        <w:t>The following are identified as “at-fault” reasons why a tenant may be evicted</w:t>
      </w:r>
      <w:r>
        <w:rPr>
          <w:rFonts w:ascii="Times New Roman" w:hAnsi="Times New Roman" w:cs="Times New Roman"/>
          <w:sz w:val="24"/>
          <w:szCs w:val="24"/>
        </w:rPr>
        <w:t xml:space="preserve"> (Sec. 17-02.53(a)):</w:t>
      </w:r>
    </w:p>
    <w:p w14:paraId="28C3728E" w14:textId="77777777" w:rsidR="00444F07" w:rsidRDefault="00444F07" w:rsidP="00444F07">
      <w:pPr>
        <w:spacing w:after="0" w:line="240" w:lineRule="auto"/>
        <w:jc w:val="both"/>
        <w:rPr>
          <w:rFonts w:ascii="Times New Roman" w:hAnsi="Times New Roman" w:cs="Times New Roman"/>
          <w:sz w:val="24"/>
          <w:szCs w:val="24"/>
        </w:rPr>
      </w:pPr>
    </w:p>
    <w:p w14:paraId="22A0D618" w14:textId="77777777" w:rsidR="00444F07" w:rsidRDefault="00444F07" w:rsidP="00444F07">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Failure to pay </w:t>
      </w:r>
      <w:proofErr w:type="gramStart"/>
      <w:r>
        <w:rPr>
          <w:rFonts w:ascii="Times New Roman" w:hAnsi="Times New Roman" w:cs="Times New Roman"/>
          <w:sz w:val="24"/>
          <w:szCs w:val="24"/>
        </w:rPr>
        <w:t>rent;</w:t>
      </w:r>
      <w:proofErr w:type="gramEnd"/>
    </w:p>
    <w:p w14:paraId="5EB0A89F" w14:textId="6C9E541C" w:rsidR="00444F07" w:rsidRDefault="00444F07" w:rsidP="00444F07">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Breach of the lease. However, this section of the ordinance provides certain protections for families: the tenant’s addition of their child, parent, grandchild, grandparent, brother or sister, or spouse or domestic partner to the rental unit shall not give a landlord just cause to evict the tenant (Sec. 17-02.53(a)(2)(B</w:t>
      </w:r>
      <w:proofErr w:type="gramStart"/>
      <w:r>
        <w:rPr>
          <w:rFonts w:ascii="Times New Roman" w:hAnsi="Times New Roman" w:cs="Times New Roman"/>
          <w:sz w:val="24"/>
          <w:szCs w:val="24"/>
        </w:rPr>
        <w:t>);</w:t>
      </w:r>
      <w:proofErr w:type="gramEnd"/>
    </w:p>
    <w:p w14:paraId="5EDA2ADE" w14:textId="5B277380" w:rsidR="00444F07" w:rsidRDefault="00444F07" w:rsidP="00444F07">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Maintaining a nuisance or committing </w:t>
      </w:r>
      <w:proofErr w:type="gramStart"/>
      <w:r>
        <w:rPr>
          <w:rFonts w:ascii="Times New Roman" w:hAnsi="Times New Roman" w:cs="Times New Roman"/>
          <w:sz w:val="24"/>
          <w:szCs w:val="24"/>
        </w:rPr>
        <w:t>waste;</w:t>
      </w:r>
      <w:proofErr w:type="gramEnd"/>
    </w:p>
    <w:p w14:paraId="3A5C19C6" w14:textId="509A26DD" w:rsidR="00444F07" w:rsidRDefault="00444F07" w:rsidP="00444F07">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Criminal activity or criminal </w:t>
      </w:r>
      <w:proofErr w:type="gramStart"/>
      <w:r>
        <w:rPr>
          <w:rFonts w:ascii="Times New Roman" w:hAnsi="Times New Roman" w:cs="Times New Roman"/>
          <w:sz w:val="24"/>
          <w:szCs w:val="24"/>
        </w:rPr>
        <w:t>threats;</w:t>
      </w:r>
      <w:proofErr w:type="gramEnd"/>
    </w:p>
    <w:p w14:paraId="402E99D7" w14:textId="2B5E3EE8" w:rsidR="00444F07" w:rsidRDefault="00444F07" w:rsidP="00444F07">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Assignment or subletting in violation of the rental housing </w:t>
      </w:r>
      <w:proofErr w:type="gramStart"/>
      <w:r>
        <w:rPr>
          <w:rFonts w:ascii="Times New Roman" w:hAnsi="Times New Roman" w:cs="Times New Roman"/>
          <w:sz w:val="24"/>
          <w:szCs w:val="24"/>
        </w:rPr>
        <w:t>agreement;</w:t>
      </w:r>
      <w:proofErr w:type="gramEnd"/>
    </w:p>
    <w:p w14:paraId="7BEE776D" w14:textId="177E1D29" w:rsidR="00444F07" w:rsidRDefault="00444F07" w:rsidP="00444F07">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Failure to give access; </w:t>
      </w:r>
      <w:r w:rsidR="00FB362F">
        <w:rPr>
          <w:rFonts w:ascii="Times New Roman" w:hAnsi="Times New Roman" w:cs="Times New Roman"/>
          <w:sz w:val="24"/>
          <w:szCs w:val="24"/>
        </w:rPr>
        <w:t>and</w:t>
      </w:r>
    </w:p>
    <w:p w14:paraId="207ADB50" w14:textId="695D2F3B" w:rsidR="00444F07" w:rsidRDefault="00444F07" w:rsidP="00444F07">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Illegal use of the rental unit.</w:t>
      </w:r>
    </w:p>
    <w:p w14:paraId="45D2CCC9" w14:textId="77777777" w:rsidR="00444F07" w:rsidRDefault="00444F07" w:rsidP="00444F07">
      <w:pPr>
        <w:spacing w:after="0" w:line="240" w:lineRule="auto"/>
        <w:jc w:val="both"/>
        <w:rPr>
          <w:rFonts w:ascii="Times New Roman" w:hAnsi="Times New Roman" w:cs="Times New Roman"/>
          <w:sz w:val="24"/>
          <w:szCs w:val="24"/>
        </w:rPr>
      </w:pPr>
    </w:p>
    <w:p w14:paraId="02A335B1" w14:textId="252A3D3D" w:rsidR="00444F07" w:rsidRDefault="00444F07" w:rsidP="00444F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following are identified as “no-fault” reasons why a tenant may be evicted</w:t>
      </w:r>
      <w:r w:rsidR="00C56B32">
        <w:rPr>
          <w:rFonts w:ascii="Times New Roman" w:hAnsi="Times New Roman" w:cs="Times New Roman"/>
          <w:sz w:val="24"/>
          <w:szCs w:val="24"/>
        </w:rPr>
        <w:t xml:space="preserve"> when the landlord acts in good faith, without ulterior motives, and with honest intent</w:t>
      </w:r>
      <w:r>
        <w:rPr>
          <w:rFonts w:ascii="Times New Roman" w:hAnsi="Times New Roman" w:cs="Times New Roman"/>
          <w:sz w:val="24"/>
          <w:szCs w:val="24"/>
        </w:rPr>
        <w:t xml:space="preserve"> (Sec. 17-02.5(b)):</w:t>
      </w:r>
    </w:p>
    <w:p w14:paraId="1A4C6911" w14:textId="77777777" w:rsidR="00444F07" w:rsidRDefault="00444F07" w:rsidP="00444F07">
      <w:pPr>
        <w:spacing w:after="0" w:line="240" w:lineRule="auto"/>
        <w:jc w:val="both"/>
        <w:rPr>
          <w:rFonts w:ascii="Times New Roman" w:hAnsi="Times New Roman" w:cs="Times New Roman"/>
          <w:sz w:val="24"/>
          <w:szCs w:val="24"/>
        </w:rPr>
      </w:pPr>
    </w:p>
    <w:p w14:paraId="1C7B6A97" w14:textId="770C03E8" w:rsidR="00444F07" w:rsidRDefault="00C56B32" w:rsidP="00444F07">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landlord seeks to recover possession of the rental unit for use and occupancy as a primary residence by the landlord or the landlord’s spouse, domestic partner, child, grandchild, parent, or grandparent.</w:t>
      </w:r>
    </w:p>
    <w:p w14:paraId="255F5F6C" w14:textId="566BFC46" w:rsidR="00C56B32" w:rsidRDefault="00C56B32" w:rsidP="00444F07">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landlord, after having obtained all necessary permits and approvals, seeks to demolish or to undertake substantial repairs which are necessary to bring the property into compliance with applicable codes affecting the health and safety of tenants or where such substantial repairs cannot be completed while the tenant continues to reside on the property. </w:t>
      </w:r>
    </w:p>
    <w:p w14:paraId="043BFE1E" w14:textId="77777777" w:rsidR="00C56B32" w:rsidRDefault="00C56B32" w:rsidP="00C56B32">
      <w:pPr>
        <w:spacing w:after="0" w:line="240" w:lineRule="auto"/>
        <w:jc w:val="both"/>
        <w:rPr>
          <w:rFonts w:ascii="Times New Roman" w:hAnsi="Times New Roman" w:cs="Times New Roman"/>
          <w:sz w:val="24"/>
          <w:szCs w:val="24"/>
        </w:rPr>
      </w:pPr>
    </w:p>
    <w:p w14:paraId="3E0B4E41" w14:textId="49318637" w:rsidR="00C56B32" w:rsidRPr="00C56B32" w:rsidRDefault="00C56B32" w:rsidP="00C56B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the event a tenancy is terminated for an “at-fault” reason, the landlord must provide notice to the tenant and an opportunity to the violation (Sec. 17-02.54(a).) In the event a tenancy is terminated for a “no-fault” reason, the landlord must provide notice to the tenant and must provide relocation assistance in an amount equal to three (3) months’ actual rent, in addition to any deposit or security amounts owed to the tenant (Sec. 17-02.54(c).) Additionally, if the rental unit is offered for rent or lease within five (5) years of the date the tenant was evicted for a “no-fault” reason the landlord shall first offer the rental unit to the tenant who was displaced by the no-fault eviction provided the tenant has taken certain steps to keep informed of the rental unit’s availability.</w:t>
      </w:r>
      <w:r w:rsidR="005F78A3">
        <w:rPr>
          <w:rFonts w:ascii="Times New Roman" w:hAnsi="Times New Roman" w:cs="Times New Roman"/>
          <w:sz w:val="24"/>
          <w:szCs w:val="24"/>
        </w:rPr>
        <w:t xml:space="preserve"> All notices provided under the Tenant Protection and Just Cause Termination Ordinance must be provided in both English and Spanish.</w:t>
      </w:r>
    </w:p>
    <w:p w14:paraId="44D7E9A4" w14:textId="77777777" w:rsidR="00D04512" w:rsidRDefault="00D04512" w:rsidP="002C54B9">
      <w:pPr>
        <w:spacing w:after="0" w:line="240" w:lineRule="auto"/>
        <w:jc w:val="both"/>
        <w:rPr>
          <w:rFonts w:ascii="Times New Roman" w:hAnsi="Times New Roman" w:cs="Times New Roman"/>
          <w:sz w:val="24"/>
          <w:szCs w:val="24"/>
        </w:rPr>
      </w:pPr>
    </w:p>
    <w:p w14:paraId="02F79898" w14:textId="3EB95A52" w:rsidR="0016075D" w:rsidRPr="0016075D" w:rsidRDefault="0016075D" w:rsidP="002C54B9">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Security Deposits.</w:t>
      </w:r>
    </w:p>
    <w:p w14:paraId="66E40642" w14:textId="77777777" w:rsidR="00B516C9" w:rsidRDefault="00B516C9" w:rsidP="002C54B9">
      <w:pPr>
        <w:spacing w:after="0" w:line="240" w:lineRule="auto"/>
        <w:jc w:val="both"/>
        <w:rPr>
          <w:rFonts w:ascii="Times New Roman" w:hAnsi="Times New Roman" w:cs="Times New Roman"/>
          <w:i/>
          <w:iCs/>
          <w:sz w:val="24"/>
          <w:szCs w:val="24"/>
        </w:rPr>
      </w:pPr>
    </w:p>
    <w:p w14:paraId="7C8A5460" w14:textId="3984DE3B" w:rsidR="003414D3" w:rsidRPr="002C54B9" w:rsidRDefault="002C54B9" w:rsidP="002C54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City received questions and comments from the public about including restrictions on security deposits; however, California already has strict rules about tenant security deposits that all residential landlords and property managers must follow. (California Civil Code section 1950.5). Consequently, additional restrictions on security deposits are not incorporated into the draft ordinance attached to this report. A security deposit belongs to the tenant, but the landlord is </w:t>
      </w:r>
      <w:r>
        <w:rPr>
          <w:rFonts w:ascii="Times New Roman" w:hAnsi="Times New Roman" w:cs="Times New Roman"/>
          <w:sz w:val="24"/>
          <w:szCs w:val="24"/>
        </w:rPr>
        <w:lastRenderedPageBreak/>
        <w:t xml:space="preserve">allowed to hold on to the deposit until the tenant moves out. Security deposits must be returned when the tenant moves out, minus allowed expenses. State law limits the amount of security deposits: the limit is one month’s rent. For landlords who own no more than two residential rental properties that collectively include no more than four total units for rent, the limit is two times the monthly rent, but only if the landlord is a natural person or a limited liability company in which all members are natural persons. Security deposits may not be uses for other costs such (1) damages that were already there when the tenant moved in; (2) unreasonable or unnecessary expenses; or (3) ordinary wear and tear. Landlords can only use security deposits for the following specified expenses: past due rent; the cost of repairing damages caused by tenants or their guests, not including ordinary wear and tear; the cost of cleaning the property so that it is as clean as </w:t>
      </w:r>
      <w:r w:rsidR="00896792">
        <w:rPr>
          <w:rFonts w:ascii="Times New Roman" w:hAnsi="Times New Roman" w:cs="Times New Roman"/>
          <w:sz w:val="24"/>
          <w:szCs w:val="24"/>
        </w:rPr>
        <w:t xml:space="preserve">when </w:t>
      </w:r>
      <w:r>
        <w:rPr>
          <w:rFonts w:ascii="Times New Roman" w:hAnsi="Times New Roman" w:cs="Times New Roman"/>
          <w:sz w:val="24"/>
          <w:szCs w:val="24"/>
        </w:rPr>
        <w:t>the tenant first moved in; and the cost of replacing or restoring the landlord’s personal property, such as furniture, but only if the rental agreement says this is allowed.</w:t>
      </w:r>
    </w:p>
    <w:p w14:paraId="17E7AC5D" w14:textId="77777777" w:rsidR="003414D3" w:rsidRDefault="003414D3" w:rsidP="00E130E8">
      <w:pPr>
        <w:spacing w:after="0" w:line="240" w:lineRule="auto"/>
        <w:jc w:val="both"/>
        <w:rPr>
          <w:rFonts w:ascii="Times New Roman" w:hAnsi="Times New Roman" w:cs="Times New Roman"/>
          <w:i/>
          <w:iCs/>
          <w:sz w:val="24"/>
          <w:szCs w:val="24"/>
        </w:rPr>
      </w:pPr>
    </w:p>
    <w:p w14:paraId="7B0EE681" w14:textId="24FB72BD" w:rsidR="0073442B" w:rsidRPr="00FB362F" w:rsidRDefault="0073442B" w:rsidP="00E130E8">
      <w:pPr>
        <w:spacing w:after="0" w:line="240" w:lineRule="auto"/>
        <w:jc w:val="both"/>
        <w:rPr>
          <w:rFonts w:ascii="Times New Roman" w:hAnsi="Times New Roman" w:cs="Times New Roman"/>
          <w:b/>
          <w:bCs/>
          <w:sz w:val="24"/>
          <w:szCs w:val="24"/>
        </w:rPr>
      </w:pPr>
      <w:r w:rsidRPr="00FB362F">
        <w:rPr>
          <w:rFonts w:ascii="Times New Roman" w:hAnsi="Times New Roman" w:cs="Times New Roman"/>
          <w:b/>
          <w:bCs/>
          <w:sz w:val="24"/>
          <w:szCs w:val="24"/>
          <w:u w:val="single"/>
        </w:rPr>
        <w:t>Tenant Anti-Harassment</w:t>
      </w:r>
      <w:r w:rsidR="00FB362F" w:rsidRPr="00FB362F">
        <w:rPr>
          <w:rFonts w:ascii="Times New Roman" w:hAnsi="Times New Roman" w:cs="Times New Roman"/>
          <w:b/>
          <w:bCs/>
          <w:sz w:val="24"/>
          <w:szCs w:val="24"/>
          <w:u w:val="single"/>
        </w:rPr>
        <w:t xml:space="preserve"> Ordinance</w:t>
      </w:r>
      <w:r w:rsidRPr="00FB362F">
        <w:rPr>
          <w:rFonts w:ascii="Times New Roman" w:hAnsi="Times New Roman" w:cs="Times New Roman"/>
          <w:b/>
          <w:bCs/>
          <w:sz w:val="24"/>
          <w:szCs w:val="24"/>
        </w:rPr>
        <w:t>.</w:t>
      </w:r>
    </w:p>
    <w:p w14:paraId="0047CB1C" w14:textId="77777777" w:rsidR="00C97602" w:rsidRDefault="00C97602" w:rsidP="00E130E8">
      <w:pPr>
        <w:spacing w:after="0" w:line="240" w:lineRule="auto"/>
        <w:jc w:val="both"/>
        <w:rPr>
          <w:rFonts w:ascii="Times New Roman" w:hAnsi="Times New Roman" w:cs="Times New Roman"/>
          <w:i/>
          <w:iCs/>
          <w:sz w:val="24"/>
          <w:szCs w:val="24"/>
        </w:rPr>
      </w:pPr>
    </w:p>
    <w:p w14:paraId="0AFF98C2" w14:textId="24EE9D74" w:rsidR="005F1A2A" w:rsidRDefault="005F1A2A" w:rsidP="00C976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Under state law, tenant harassment occurs when a landlord engages in specific acts with intent to cause a tenant to vacate a rental unit. The harm state law seeks to prevent is “constructive eviction,” and it does not address harassing acts by landlord that are not accompanied by the specific intent to cause the tenant to vacate or where it is difficult to provide this specific intent.</w:t>
      </w:r>
    </w:p>
    <w:p w14:paraId="213DF34C" w14:textId="77777777" w:rsidR="005F1A2A" w:rsidRDefault="005F1A2A" w:rsidP="00C97602">
      <w:pPr>
        <w:spacing w:after="0" w:line="240" w:lineRule="auto"/>
        <w:jc w:val="both"/>
        <w:rPr>
          <w:rFonts w:ascii="Times New Roman" w:hAnsi="Times New Roman" w:cs="Times New Roman"/>
          <w:sz w:val="24"/>
          <w:szCs w:val="24"/>
        </w:rPr>
      </w:pPr>
    </w:p>
    <w:p w14:paraId="2E2A8B48" w14:textId="394E3D6C" w:rsidR="005F1A2A" w:rsidRDefault="005F1A2A" w:rsidP="00C976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City policy</w:t>
      </w:r>
      <w:r w:rsidR="00624F98">
        <w:rPr>
          <w:rFonts w:ascii="Times New Roman" w:hAnsi="Times New Roman" w:cs="Times New Roman"/>
          <w:sz w:val="24"/>
          <w:szCs w:val="24"/>
        </w:rPr>
        <w:t xml:space="preserve"> prohibiting harassment by residential landlords, or “anti-harassment” policy, can focus more broadly on harmful actions by landlords that have no lawful purpose. The</w:t>
      </w:r>
      <w:r w:rsidR="00115CBD">
        <w:rPr>
          <w:rFonts w:ascii="Times New Roman" w:hAnsi="Times New Roman" w:cs="Times New Roman"/>
          <w:sz w:val="24"/>
          <w:szCs w:val="24"/>
        </w:rPr>
        <w:t xml:space="preserve"> </w:t>
      </w:r>
      <w:r w:rsidR="00624F98">
        <w:rPr>
          <w:rFonts w:ascii="Times New Roman" w:hAnsi="Times New Roman" w:cs="Times New Roman"/>
          <w:sz w:val="24"/>
          <w:szCs w:val="24"/>
        </w:rPr>
        <w:t xml:space="preserve">Tenant Anti-Harassment Ordinance identifies specific acts and omissions by landlords that constitute prohibited harassment. This encompasses situations where a landlord harasses a tenant </w:t>
      </w:r>
      <w:proofErr w:type="gramStart"/>
      <w:r w:rsidR="00624F98">
        <w:rPr>
          <w:rFonts w:ascii="Times New Roman" w:hAnsi="Times New Roman" w:cs="Times New Roman"/>
          <w:sz w:val="24"/>
          <w:szCs w:val="24"/>
        </w:rPr>
        <w:t>in order to</w:t>
      </w:r>
      <w:proofErr w:type="gramEnd"/>
      <w:r w:rsidR="00624F98">
        <w:rPr>
          <w:rFonts w:ascii="Times New Roman" w:hAnsi="Times New Roman" w:cs="Times New Roman"/>
          <w:sz w:val="24"/>
          <w:szCs w:val="24"/>
        </w:rPr>
        <w:t xml:space="preserve"> cause the tenant to leave, as well as situations where a landlord wants to avoid the expense or inconvenience of providing a tenant what they are lawfully owed or acts in a discriminatory manner. The draft ordinance includes enforcement mechanisms</w:t>
      </w:r>
      <w:r w:rsidR="004019F5">
        <w:rPr>
          <w:rFonts w:ascii="Times New Roman" w:hAnsi="Times New Roman" w:cs="Times New Roman"/>
          <w:sz w:val="24"/>
          <w:szCs w:val="24"/>
        </w:rPr>
        <w:t xml:space="preserve"> allowing for enforcement by an aggrieved tenant, the City, or an organization or other entity that represents the interests of aggrieved tenants. The draft ordinance also provides for </w:t>
      </w:r>
      <w:r w:rsidR="00826A3E">
        <w:rPr>
          <w:rFonts w:ascii="Times New Roman" w:hAnsi="Times New Roman" w:cs="Times New Roman"/>
          <w:sz w:val="24"/>
          <w:szCs w:val="24"/>
        </w:rPr>
        <w:t>minimum damages</w:t>
      </w:r>
      <w:r w:rsidR="004019F5">
        <w:rPr>
          <w:rFonts w:ascii="Times New Roman" w:hAnsi="Times New Roman" w:cs="Times New Roman"/>
          <w:sz w:val="24"/>
          <w:szCs w:val="24"/>
        </w:rPr>
        <w:t xml:space="preserve"> amount and enhanced damages where a tenant is disabled or age 65 or over.</w:t>
      </w:r>
    </w:p>
    <w:p w14:paraId="6851C487" w14:textId="77777777" w:rsidR="005F1A2A" w:rsidRDefault="005F1A2A" w:rsidP="00C97602">
      <w:pPr>
        <w:spacing w:after="0" w:line="240" w:lineRule="auto"/>
        <w:jc w:val="both"/>
        <w:rPr>
          <w:rFonts w:ascii="Times New Roman" w:hAnsi="Times New Roman" w:cs="Times New Roman"/>
          <w:sz w:val="24"/>
          <w:szCs w:val="24"/>
        </w:rPr>
      </w:pPr>
    </w:p>
    <w:p w14:paraId="6CAB3174" w14:textId="44AC2C23" w:rsidR="00C97602" w:rsidRDefault="00C97602" w:rsidP="00C976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Tenant Anti-Harassment Ordinance creates local regulations that strengthen tenant protections beyond what is otherwise provided for in state law. Following are the significant elements of the draft Anti-Harassment Ordinance:</w:t>
      </w:r>
    </w:p>
    <w:p w14:paraId="391E229B" w14:textId="77777777" w:rsidR="00FB362F" w:rsidRDefault="00FB362F" w:rsidP="00E130E8">
      <w:pPr>
        <w:spacing w:after="0" w:line="240" w:lineRule="auto"/>
        <w:jc w:val="both"/>
        <w:rPr>
          <w:rFonts w:ascii="Times New Roman" w:hAnsi="Times New Roman" w:cs="Times New Roman"/>
          <w:i/>
          <w:iCs/>
          <w:sz w:val="24"/>
          <w:szCs w:val="24"/>
        </w:rPr>
      </w:pPr>
    </w:p>
    <w:p w14:paraId="521B90B1" w14:textId="1D90050A" w:rsidR="00F0114E" w:rsidRPr="00FB362F" w:rsidRDefault="00F0114E" w:rsidP="00E130E8">
      <w:pPr>
        <w:spacing w:after="0" w:line="240" w:lineRule="auto"/>
        <w:jc w:val="both"/>
        <w:rPr>
          <w:rFonts w:ascii="Times New Roman" w:hAnsi="Times New Roman" w:cs="Times New Roman"/>
          <w:b/>
          <w:bCs/>
          <w:sz w:val="24"/>
          <w:szCs w:val="24"/>
        </w:rPr>
      </w:pPr>
      <w:r w:rsidRPr="00FB362F">
        <w:rPr>
          <w:rFonts w:ascii="Times New Roman" w:hAnsi="Times New Roman" w:cs="Times New Roman"/>
          <w:b/>
          <w:bCs/>
          <w:sz w:val="24"/>
          <w:szCs w:val="24"/>
        </w:rPr>
        <w:t>California Proposition 33: Prohibit State Limitations on Local Rent Control Initiative (“Justice for Renters Act”)</w:t>
      </w:r>
    </w:p>
    <w:p w14:paraId="53F21D6C" w14:textId="77777777" w:rsidR="00C62F00" w:rsidRDefault="00C62F00" w:rsidP="00E130E8">
      <w:pPr>
        <w:spacing w:after="0" w:line="240" w:lineRule="auto"/>
        <w:jc w:val="both"/>
        <w:rPr>
          <w:rFonts w:ascii="Times New Roman" w:hAnsi="Times New Roman" w:cs="Times New Roman"/>
          <w:i/>
          <w:iCs/>
          <w:sz w:val="24"/>
          <w:szCs w:val="24"/>
        </w:rPr>
      </w:pPr>
    </w:p>
    <w:p w14:paraId="0E292373" w14:textId="1BA216C3" w:rsidR="00C62F00" w:rsidRDefault="00292571"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California Proposition 33, an initiative measure, will be on the November 2024 ballot. This initiative measure “was designed to repeal the </w:t>
      </w:r>
      <w:r w:rsidRPr="00292571">
        <w:rPr>
          <w:rFonts w:ascii="Times New Roman" w:hAnsi="Times New Roman" w:cs="Times New Roman"/>
          <w:i/>
          <w:iCs/>
          <w:sz w:val="24"/>
          <w:szCs w:val="24"/>
        </w:rPr>
        <w:t>Costa-Hawkins Rental Housing Act</w:t>
      </w:r>
      <w:r>
        <w:rPr>
          <w:rFonts w:ascii="Times New Roman" w:hAnsi="Times New Roman" w:cs="Times New Roman"/>
          <w:sz w:val="24"/>
          <w:szCs w:val="24"/>
        </w:rPr>
        <w:t xml:space="preserve"> enacted in 1995</w:t>
      </w:r>
      <w:r w:rsidR="00AD4473">
        <w:rPr>
          <w:rFonts w:ascii="Times New Roman" w:hAnsi="Times New Roman" w:cs="Times New Roman"/>
          <w:sz w:val="24"/>
          <w:szCs w:val="24"/>
        </w:rPr>
        <w:t xml:space="preserve">… </w:t>
      </w:r>
      <w:r>
        <w:rPr>
          <w:rFonts w:ascii="Times New Roman" w:hAnsi="Times New Roman" w:cs="Times New Roman"/>
          <w:sz w:val="24"/>
          <w:szCs w:val="24"/>
        </w:rPr>
        <w:t xml:space="preserve">By repealing the act, the initiative would allow cities and counties to limit rent on any housing and limit the rent for a first-time tenant. Any local laws currently inoperative under </w:t>
      </w:r>
      <w:r>
        <w:rPr>
          <w:rFonts w:ascii="Times New Roman" w:hAnsi="Times New Roman" w:cs="Times New Roman"/>
          <w:i/>
          <w:iCs/>
          <w:sz w:val="24"/>
          <w:szCs w:val="24"/>
        </w:rPr>
        <w:t>Costa-Hawkins</w:t>
      </w:r>
      <w:r>
        <w:rPr>
          <w:rFonts w:ascii="Times New Roman" w:hAnsi="Times New Roman" w:cs="Times New Roman"/>
          <w:sz w:val="24"/>
          <w:szCs w:val="24"/>
        </w:rPr>
        <w:t xml:space="preserve"> would take effect upon its repeal. The initiative would also add language to California’s </w:t>
      </w:r>
      <w:r>
        <w:rPr>
          <w:rFonts w:ascii="Times New Roman" w:hAnsi="Times New Roman" w:cs="Times New Roman"/>
          <w:sz w:val="24"/>
          <w:szCs w:val="24"/>
        </w:rPr>
        <w:lastRenderedPageBreak/>
        <w:t>Civil Code prohibiting the state from limiting ‘the right of any city, county, or city and county to maintain, enact or expand residential rent control.’”</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(emphasis in original)</w:t>
      </w:r>
    </w:p>
    <w:p w14:paraId="1733D73C" w14:textId="77777777" w:rsidR="00292571" w:rsidRDefault="00292571" w:rsidP="00E130E8">
      <w:pPr>
        <w:spacing w:after="0" w:line="240" w:lineRule="auto"/>
        <w:jc w:val="both"/>
        <w:rPr>
          <w:rFonts w:ascii="Times New Roman" w:hAnsi="Times New Roman" w:cs="Times New Roman"/>
          <w:sz w:val="24"/>
          <w:szCs w:val="24"/>
        </w:rPr>
      </w:pPr>
    </w:p>
    <w:p w14:paraId="11400482" w14:textId="3D1F7569" w:rsidR="00292571" w:rsidRPr="00292571" w:rsidRDefault="00292571"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City Council should consider the local effects should the initiative measure pass and the City Council adopt the Ordinances. Specifically, the City Council should consider whether to explicitly include any elements from Costa-Hawkins, such as exempting single family homes, exempting new development, and providing vacancy decontrol. If these items are not included in the City’s Ordinances and the statewide ballot initiative passes, the City’s Ordinances would apply to </w:t>
      </w:r>
      <w:r>
        <w:rPr>
          <w:rFonts w:ascii="Times New Roman" w:hAnsi="Times New Roman" w:cs="Times New Roman"/>
          <w:i/>
          <w:iCs/>
          <w:sz w:val="24"/>
          <w:szCs w:val="24"/>
        </w:rPr>
        <w:t>all</w:t>
      </w:r>
      <w:r>
        <w:rPr>
          <w:rFonts w:ascii="Times New Roman" w:hAnsi="Times New Roman" w:cs="Times New Roman"/>
          <w:sz w:val="24"/>
          <w:szCs w:val="24"/>
        </w:rPr>
        <w:t xml:space="preserve"> rental housing in the city, including single-family units and rents would not reset to market for new tenants.</w:t>
      </w:r>
    </w:p>
    <w:p w14:paraId="12AAFA35" w14:textId="77777777" w:rsidR="00F0114E" w:rsidRDefault="00F0114E" w:rsidP="00E130E8">
      <w:pPr>
        <w:spacing w:after="0" w:line="240" w:lineRule="auto"/>
        <w:jc w:val="both"/>
        <w:rPr>
          <w:rFonts w:ascii="Times New Roman" w:hAnsi="Times New Roman" w:cs="Times New Roman"/>
          <w:i/>
          <w:iCs/>
          <w:sz w:val="24"/>
          <w:szCs w:val="24"/>
        </w:rPr>
      </w:pPr>
    </w:p>
    <w:p w14:paraId="754ED7C4" w14:textId="068AB769" w:rsidR="008415CB" w:rsidRPr="00FB362F" w:rsidRDefault="008415CB" w:rsidP="00E130E8">
      <w:pPr>
        <w:spacing w:after="0" w:line="240" w:lineRule="auto"/>
        <w:jc w:val="both"/>
        <w:rPr>
          <w:rFonts w:ascii="Times New Roman" w:hAnsi="Times New Roman" w:cs="Times New Roman"/>
          <w:b/>
          <w:bCs/>
          <w:sz w:val="24"/>
          <w:szCs w:val="24"/>
        </w:rPr>
      </w:pPr>
      <w:r w:rsidRPr="00FB362F">
        <w:rPr>
          <w:rFonts w:ascii="Times New Roman" w:hAnsi="Times New Roman" w:cs="Times New Roman"/>
          <w:b/>
          <w:bCs/>
          <w:sz w:val="24"/>
          <w:szCs w:val="24"/>
        </w:rPr>
        <w:t>Proposed Operative Date of Ordinances.</w:t>
      </w:r>
    </w:p>
    <w:p w14:paraId="2D286C4F" w14:textId="77777777" w:rsidR="009661AD" w:rsidRDefault="009661AD" w:rsidP="00E130E8">
      <w:pPr>
        <w:spacing w:after="0" w:line="240" w:lineRule="auto"/>
        <w:jc w:val="both"/>
        <w:rPr>
          <w:rFonts w:ascii="Times New Roman" w:hAnsi="Times New Roman" w:cs="Times New Roman"/>
          <w:sz w:val="24"/>
          <w:szCs w:val="24"/>
        </w:rPr>
      </w:pPr>
    </w:p>
    <w:p w14:paraId="04BA5C4F" w14:textId="12114FC1" w:rsidR="00C97602" w:rsidRDefault="00C97602"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Should the City Council adopt one or more of the Ordinances, the ordinance will become effective on the thirty-first (31) day after the date of adoption. To give the City additional time to implement the program, including the identification of resources necessary to implement the program, it is recommended that the City Council make the Ordinances operative no sooner than January 1, </w:t>
      </w:r>
      <w:r w:rsidR="00896792">
        <w:rPr>
          <w:rFonts w:ascii="Times New Roman" w:hAnsi="Times New Roman" w:cs="Times New Roman"/>
          <w:sz w:val="24"/>
          <w:szCs w:val="24"/>
        </w:rPr>
        <w:t>2025</w:t>
      </w:r>
      <w:r>
        <w:rPr>
          <w:rFonts w:ascii="Times New Roman" w:hAnsi="Times New Roman" w:cs="Times New Roman"/>
          <w:sz w:val="24"/>
          <w:szCs w:val="24"/>
        </w:rPr>
        <w:t xml:space="preserve">. </w:t>
      </w:r>
      <w:r w:rsidR="002052A4">
        <w:rPr>
          <w:rFonts w:ascii="Times New Roman" w:hAnsi="Times New Roman" w:cs="Times New Roman"/>
          <w:sz w:val="24"/>
          <w:szCs w:val="24"/>
        </w:rPr>
        <w:t xml:space="preserve">The City will need to prepare notices, forms, and regulations identified in the Ordinances, as well as build an educational program about the Ordinances which will be posted on the City’s website. The City may also need to hire additional staff or retain consultants to implement the program on a day-to-basis. This will include responding to resident questions and providing educational materials to residents affected by the Ordinances. The City will also need to identify a Hearing Officer to receive and to decide petitions for rent increases or rent reductions by landlords and tenants, respectively. Additional information about the resource needs </w:t>
      </w:r>
      <w:proofErr w:type="gramStart"/>
      <w:r w:rsidR="002052A4">
        <w:rPr>
          <w:rFonts w:ascii="Times New Roman" w:hAnsi="Times New Roman" w:cs="Times New Roman"/>
          <w:sz w:val="24"/>
          <w:szCs w:val="24"/>
        </w:rPr>
        <w:t>are</w:t>
      </w:r>
      <w:proofErr w:type="gramEnd"/>
      <w:r w:rsidR="002052A4">
        <w:rPr>
          <w:rFonts w:ascii="Times New Roman" w:hAnsi="Times New Roman" w:cs="Times New Roman"/>
          <w:sz w:val="24"/>
          <w:szCs w:val="24"/>
        </w:rPr>
        <w:t xml:space="preserve"> discussed in the attached report prepared by Economic &amp; Planning Systems, Inc., and in the Fiscal and Sustainability Impact section of this report.</w:t>
      </w:r>
    </w:p>
    <w:p w14:paraId="09477C0C" w14:textId="77777777" w:rsidR="00C97602" w:rsidRDefault="00C97602" w:rsidP="00E130E8">
      <w:pPr>
        <w:spacing w:after="0" w:line="240" w:lineRule="auto"/>
        <w:jc w:val="both"/>
        <w:rPr>
          <w:rFonts w:ascii="Times New Roman" w:hAnsi="Times New Roman" w:cs="Times New Roman"/>
          <w:sz w:val="24"/>
          <w:szCs w:val="24"/>
        </w:rPr>
      </w:pPr>
    </w:p>
    <w:p w14:paraId="6D6268E8" w14:textId="46049891" w:rsidR="00E62770" w:rsidRPr="00FB362F" w:rsidRDefault="00E62770" w:rsidP="00E130E8">
      <w:pPr>
        <w:spacing w:after="0" w:line="240" w:lineRule="auto"/>
        <w:jc w:val="both"/>
        <w:rPr>
          <w:rFonts w:ascii="Times New Roman" w:hAnsi="Times New Roman" w:cs="Times New Roman"/>
          <w:b/>
          <w:bCs/>
          <w:sz w:val="24"/>
          <w:szCs w:val="24"/>
        </w:rPr>
      </w:pPr>
      <w:r w:rsidRPr="00FB362F">
        <w:rPr>
          <w:rFonts w:ascii="Times New Roman" w:hAnsi="Times New Roman" w:cs="Times New Roman"/>
          <w:b/>
          <w:bCs/>
          <w:sz w:val="24"/>
          <w:szCs w:val="24"/>
        </w:rPr>
        <w:t>Public Outreach and Community Engagement</w:t>
      </w:r>
      <w:r w:rsidR="00FB362F">
        <w:rPr>
          <w:rFonts w:ascii="Times New Roman" w:hAnsi="Times New Roman" w:cs="Times New Roman"/>
          <w:b/>
          <w:bCs/>
          <w:sz w:val="24"/>
          <w:szCs w:val="24"/>
        </w:rPr>
        <w:t>.</w:t>
      </w:r>
    </w:p>
    <w:p w14:paraId="7FF6F828" w14:textId="77777777" w:rsidR="00E62770" w:rsidRDefault="00E62770" w:rsidP="00E130E8">
      <w:pPr>
        <w:spacing w:after="0" w:line="240" w:lineRule="auto"/>
        <w:jc w:val="both"/>
        <w:rPr>
          <w:rFonts w:ascii="Times New Roman" w:hAnsi="Times New Roman" w:cs="Times New Roman"/>
          <w:i/>
          <w:iCs/>
          <w:sz w:val="24"/>
          <w:szCs w:val="24"/>
        </w:rPr>
      </w:pPr>
    </w:p>
    <w:p w14:paraId="3991FCBE" w14:textId="273D4787" w:rsidR="00B2259B" w:rsidRDefault="00B2259B"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City began the public process around the rent stabilization program on October 24, 2023, when the City Council received a report on Rent Stabilization and Tenant Protection. Following the City Council’s direction at that meeting to return to the City Council with recommendations on the establishment and implementation of a rent stabilization and tenant protection program, the City began engaging the community beginning at the March 26, 2024, Housing and Land Use Committee meeting. Following that, the City hosted a Listening Session on June 6, 2024, and two Community Engagement meetings, the first on June 13, 2024, and the second on August 1, 2024. Updates were provided to the Housing and Land Use Committee as the work progressed. The City also engaged directly with a Technical Advisory Committee</w:t>
      </w:r>
      <w:r w:rsidR="005B44AF">
        <w:rPr>
          <w:rFonts w:ascii="Times New Roman" w:hAnsi="Times New Roman" w:cs="Times New Roman"/>
          <w:sz w:val="24"/>
          <w:szCs w:val="24"/>
        </w:rPr>
        <w:t xml:space="preserve"> (TAC)</w:t>
      </w:r>
      <w:r>
        <w:rPr>
          <w:rFonts w:ascii="Times New Roman" w:hAnsi="Times New Roman" w:cs="Times New Roman"/>
          <w:sz w:val="24"/>
          <w:szCs w:val="24"/>
        </w:rPr>
        <w:t xml:space="preserve"> comprised of representatives of property owners, developers, property managers, and tenants.</w:t>
      </w:r>
      <w:r w:rsidR="005B44AF">
        <w:rPr>
          <w:rFonts w:ascii="Times New Roman" w:hAnsi="Times New Roman" w:cs="Times New Roman"/>
          <w:sz w:val="24"/>
          <w:szCs w:val="24"/>
        </w:rPr>
        <w:t xml:space="preserve"> TAC meetings were held on April 30, May 15, May 29, and July 17, 2024.</w:t>
      </w:r>
    </w:p>
    <w:p w14:paraId="1935BF67" w14:textId="77777777" w:rsidR="00B2259B" w:rsidRDefault="00B2259B" w:rsidP="00E130E8">
      <w:pPr>
        <w:spacing w:after="0" w:line="240" w:lineRule="auto"/>
        <w:jc w:val="both"/>
        <w:rPr>
          <w:rFonts w:ascii="Times New Roman" w:hAnsi="Times New Roman" w:cs="Times New Roman"/>
          <w:sz w:val="24"/>
          <w:szCs w:val="24"/>
        </w:rPr>
      </w:pPr>
    </w:p>
    <w:p w14:paraId="0E985879" w14:textId="50443F90" w:rsidR="00E62770" w:rsidRDefault="00B2259B"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Community Development Department sent notices directly to all individuals on the Housing Division’s Distribution List, which includes 162 individuals. </w:t>
      </w:r>
      <w:r w:rsidR="00E62770">
        <w:rPr>
          <w:rFonts w:ascii="Times New Roman" w:hAnsi="Times New Roman" w:cs="Times New Roman"/>
          <w:sz w:val="24"/>
          <w:szCs w:val="24"/>
        </w:rPr>
        <w:t xml:space="preserve">The City’s Community Relations </w:t>
      </w:r>
      <w:r w:rsidR="00E62770">
        <w:rPr>
          <w:rFonts w:ascii="Times New Roman" w:hAnsi="Times New Roman" w:cs="Times New Roman"/>
          <w:sz w:val="24"/>
          <w:szCs w:val="24"/>
        </w:rPr>
        <w:lastRenderedPageBreak/>
        <w:t>division provided notice through social media and other platforms</w:t>
      </w:r>
      <w:r w:rsidR="00DC2CBD">
        <w:rPr>
          <w:rFonts w:ascii="Times New Roman" w:hAnsi="Times New Roman" w:cs="Times New Roman"/>
          <w:sz w:val="24"/>
          <w:szCs w:val="24"/>
        </w:rPr>
        <w:t>, as well as through surveys and petitions submitted directly to the City</w:t>
      </w:r>
      <w:r w:rsidR="00E62770">
        <w:rPr>
          <w:rFonts w:ascii="Times New Roman" w:hAnsi="Times New Roman" w:cs="Times New Roman"/>
          <w:sz w:val="24"/>
          <w:szCs w:val="24"/>
        </w:rPr>
        <w:t xml:space="preserve"> throughout the process</w:t>
      </w:r>
      <w:r w:rsidR="00DC2CBD">
        <w:rPr>
          <w:rFonts w:ascii="Times New Roman" w:hAnsi="Times New Roman" w:cs="Times New Roman"/>
          <w:sz w:val="24"/>
          <w:szCs w:val="24"/>
        </w:rPr>
        <w:t xml:space="preserve">. Combined, these </w:t>
      </w:r>
      <w:r w:rsidR="00E62770">
        <w:rPr>
          <w:rFonts w:ascii="Times New Roman" w:hAnsi="Times New Roman" w:cs="Times New Roman"/>
          <w:sz w:val="24"/>
          <w:szCs w:val="24"/>
        </w:rPr>
        <w:t>resulted in a total engagement/reach of 28,986 users as shown on the following table. In addition, 932 individuals signed up to receive direct notifications on this topic.</w:t>
      </w:r>
      <w:r w:rsidR="0073442B">
        <w:rPr>
          <w:rFonts w:ascii="Times New Roman" w:hAnsi="Times New Roman" w:cs="Times New Roman"/>
          <w:sz w:val="24"/>
          <w:szCs w:val="24"/>
        </w:rPr>
        <w:t xml:space="preserve"> The City’s work on a rent stabilization and tenant protection program has been well-documented by local media sources.</w:t>
      </w:r>
    </w:p>
    <w:p w14:paraId="6DB407DF" w14:textId="77777777" w:rsidR="00DC2CBD" w:rsidRDefault="00DC2CBD" w:rsidP="00E130E8">
      <w:pPr>
        <w:spacing w:after="0" w:line="240" w:lineRule="auto"/>
        <w:jc w:val="both"/>
        <w:rPr>
          <w:rFonts w:ascii="Times New Roman" w:hAnsi="Times New Roman" w:cs="Times New Roman"/>
          <w:sz w:val="24"/>
          <w:szCs w:val="24"/>
        </w:rPr>
      </w:pPr>
    </w:p>
    <w:tbl>
      <w:tblPr>
        <w:tblW w:w="10190" w:type="dxa"/>
        <w:tblCellMar>
          <w:top w:w="15" w:type="dxa"/>
          <w:left w:w="15" w:type="dxa"/>
          <w:bottom w:w="15" w:type="dxa"/>
          <w:right w:w="15" w:type="dxa"/>
        </w:tblCellMar>
        <w:tblLook w:val="04A0" w:firstRow="1" w:lastRow="0" w:firstColumn="1" w:lastColumn="0" w:noHBand="0" w:noVBand="1"/>
      </w:tblPr>
      <w:tblGrid>
        <w:gridCol w:w="1040"/>
        <w:gridCol w:w="1290"/>
        <w:gridCol w:w="5540"/>
        <w:gridCol w:w="2320"/>
      </w:tblGrid>
      <w:tr w:rsidR="00DC2CBD" w:rsidRPr="00DC2CBD" w14:paraId="2FDF3538" w14:textId="77777777" w:rsidTr="00DC2CBD">
        <w:trPr>
          <w:trHeight w:val="342"/>
        </w:trPr>
        <w:tc>
          <w:tcPr>
            <w:tcW w:w="1040" w:type="dxa"/>
            <w:tcBorders>
              <w:top w:val="single" w:sz="4" w:space="0" w:color="auto"/>
              <w:left w:val="single" w:sz="4" w:space="0" w:color="auto"/>
              <w:bottom w:val="single" w:sz="4" w:space="0" w:color="auto"/>
              <w:right w:val="single" w:sz="4" w:space="0" w:color="auto"/>
            </w:tcBorders>
            <w:noWrap/>
            <w:vAlign w:val="bottom"/>
            <w:hideMark/>
          </w:tcPr>
          <w:p w14:paraId="05284FDE"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b/>
                <w:bCs/>
                <w:color w:val="000000"/>
                <w:sz w:val="24"/>
                <w:szCs w:val="24"/>
                <w:bdr w:val="none" w:sz="0" w:space="0" w:color="auto" w:frame="1"/>
              </w:rPr>
              <w:t>Date</w:t>
            </w:r>
          </w:p>
        </w:tc>
        <w:tc>
          <w:tcPr>
            <w:tcW w:w="1290" w:type="dxa"/>
            <w:tcBorders>
              <w:top w:val="single" w:sz="4" w:space="0" w:color="auto"/>
              <w:bottom w:val="single" w:sz="4" w:space="0" w:color="auto"/>
              <w:right w:val="single" w:sz="4" w:space="0" w:color="auto"/>
            </w:tcBorders>
            <w:noWrap/>
            <w:vAlign w:val="bottom"/>
            <w:hideMark/>
          </w:tcPr>
          <w:p w14:paraId="768CA008"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b/>
                <w:bCs/>
                <w:color w:val="000000"/>
                <w:sz w:val="24"/>
                <w:szCs w:val="24"/>
                <w:bdr w:val="none" w:sz="0" w:space="0" w:color="auto" w:frame="1"/>
              </w:rPr>
              <w:t> Reach </w:t>
            </w:r>
          </w:p>
        </w:tc>
        <w:tc>
          <w:tcPr>
            <w:tcW w:w="5540" w:type="dxa"/>
            <w:tcBorders>
              <w:top w:val="single" w:sz="4" w:space="0" w:color="auto"/>
              <w:bottom w:val="single" w:sz="4" w:space="0" w:color="auto"/>
              <w:right w:val="single" w:sz="4" w:space="0" w:color="auto"/>
            </w:tcBorders>
            <w:noWrap/>
            <w:vAlign w:val="bottom"/>
            <w:hideMark/>
          </w:tcPr>
          <w:p w14:paraId="0BE44F71"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b/>
                <w:bCs/>
                <w:color w:val="000000"/>
                <w:sz w:val="24"/>
                <w:szCs w:val="24"/>
                <w:bdr w:val="none" w:sz="0" w:space="0" w:color="auto" w:frame="1"/>
              </w:rPr>
              <w:t>Topic</w:t>
            </w:r>
          </w:p>
        </w:tc>
        <w:tc>
          <w:tcPr>
            <w:tcW w:w="2320" w:type="dxa"/>
            <w:tcBorders>
              <w:top w:val="single" w:sz="4" w:space="0" w:color="auto"/>
              <w:bottom w:val="single" w:sz="4" w:space="0" w:color="auto"/>
              <w:right w:val="single" w:sz="4" w:space="0" w:color="auto"/>
            </w:tcBorders>
            <w:noWrap/>
            <w:vAlign w:val="bottom"/>
            <w:hideMark/>
          </w:tcPr>
          <w:p w14:paraId="50C8512E" w14:textId="6AC1BB05" w:rsidR="00DC2CBD" w:rsidRPr="00DC2CBD" w:rsidRDefault="00DC2CBD" w:rsidP="00DC2CBD">
            <w:pPr>
              <w:spacing w:after="0" w:line="240" w:lineRule="auto"/>
              <w:textAlignment w:val="baseline"/>
              <w:rPr>
                <w:rFonts w:ascii="Aptos" w:eastAsia="Times New Roman" w:hAnsi="Aptos" w:cs="Times New Roman"/>
                <w:color w:val="000000"/>
                <w:sz w:val="24"/>
                <w:szCs w:val="24"/>
              </w:rPr>
            </w:pPr>
            <w:r w:rsidRPr="00DC2CBD">
              <w:rPr>
                <w:rFonts w:ascii="inherit" w:eastAsia="Times New Roman" w:hAnsi="inherit" w:cs="Times New Roman"/>
                <w:b/>
                <w:bCs/>
                <w:color w:val="000000"/>
                <w:sz w:val="24"/>
                <w:szCs w:val="24"/>
                <w:bdr w:val="none" w:sz="0" w:space="0" w:color="auto" w:frame="1"/>
              </w:rPr>
              <w:t>P</w:t>
            </w:r>
            <w:r>
              <w:rPr>
                <w:rFonts w:ascii="inherit" w:eastAsia="Times New Roman" w:hAnsi="inherit" w:cs="Times New Roman"/>
                <w:b/>
                <w:bCs/>
                <w:color w:val="000000"/>
                <w:sz w:val="24"/>
                <w:szCs w:val="24"/>
                <w:bdr w:val="none" w:sz="0" w:space="0" w:color="auto" w:frame="1"/>
              </w:rPr>
              <w:t>l</w:t>
            </w:r>
            <w:r w:rsidRPr="00DC2CBD">
              <w:rPr>
                <w:rFonts w:ascii="inherit" w:eastAsia="Times New Roman" w:hAnsi="inherit" w:cs="Times New Roman"/>
                <w:b/>
                <w:bCs/>
                <w:color w:val="000000"/>
                <w:sz w:val="24"/>
                <w:szCs w:val="24"/>
                <w:bdr w:val="none" w:sz="0" w:space="0" w:color="auto" w:frame="1"/>
              </w:rPr>
              <w:t>atform</w:t>
            </w:r>
          </w:p>
        </w:tc>
      </w:tr>
      <w:tr w:rsidR="00DC2CBD" w:rsidRPr="00DC2CBD" w14:paraId="75536957"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21096137"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8/1/2024</w:t>
            </w:r>
          </w:p>
        </w:tc>
        <w:tc>
          <w:tcPr>
            <w:tcW w:w="1290" w:type="dxa"/>
            <w:tcBorders>
              <w:bottom w:val="single" w:sz="4" w:space="0" w:color="auto"/>
              <w:right w:val="single" w:sz="4" w:space="0" w:color="auto"/>
            </w:tcBorders>
            <w:noWrap/>
            <w:vAlign w:val="bottom"/>
            <w:hideMark/>
          </w:tcPr>
          <w:p w14:paraId="7FE33379"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1,601</w:t>
            </w:r>
          </w:p>
        </w:tc>
        <w:tc>
          <w:tcPr>
            <w:tcW w:w="5540" w:type="dxa"/>
            <w:tcBorders>
              <w:bottom w:val="single" w:sz="4" w:space="0" w:color="auto"/>
              <w:right w:val="single" w:sz="4" w:space="0" w:color="auto"/>
            </w:tcBorders>
            <w:noWrap/>
            <w:vAlign w:val="bottom"/>
            <w:hideMark/>
          </w:tcPr>
          <w:p w14:paraId="4A3AA783"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Recap of 8/1 meeting with links to presentation/resources</w:t>
            </w:r>
          </w:p>
        </w:tc>
        <w:tc>
          <w:tcPr>
            <w:tcW w:w="2320" w:type="dxa"/>
            <w:tcBorders>
              <w:bottom w:val="single" w:sz="4" w:space="0" w:color="auto"/>
              <w:right w:val="single" w:sz="4" w:space="0" w:color="auto"/>
            </w:tcBorders>
            <w:noWrap/>
            <w:vAlign w:val="bottom"/>
            <w:hideMark/>
          </w:tcPr>
          <w:p w14:paraId="47391E7D"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Facebook</w:t>
            </w:r>
          </w:p>
        </w:tc>
      </w:tr>
      <w:tr w:rsidR="00DC2CBD" w:rsidRPr="00DC2CBD" w14:paraId="3B7BE8D2"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1BFD16D5"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8/1/2024</w:t>
            </w:r>
          </w:p>
        </w:tc>
        <w:tc>
          <w:tcPr>
            <w:tcW w:w="1290" w:type="dxa"/>
            <w:tcBorders>
              <w:bottom w:val="single" w:sz="4" w:space="0" w:color="auto"/>
              <w:right w:val="single" w:sz="4" w:space="0" w:color="auto"/>
            </w:tcBorders>
            <w:noWrap/>
            <w:vAlign w:val="bottom"/>
            <w:hideMark/>
          </w:tcPr>
          <w:p w14:paraId="5761B654"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1,639</w:t>
            </w:r>
          </w:p>
        </w:tc>
        <w:tc>
          <w:tcPr>
            <w:tcW w:w="5540" w:type="dxa"/>
            <w:tcBorders>
              <w:bottom w:val="single" w:sz="4" w:space="0" w:color="auto"/>
              <w:right w:val="single" w:sz="4" w:space="0" w:color="auto"/>
            </w:tcBorders>
            <w:noWrap/>
            <w:vAlign w:val="bottom"/>
            <w:hideMark/>
          </w:tcPr>
          <w:p w14:paraId="5A9CA342"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Recap of 8/1 meeting with links to presentation/resources</w:t>
            </w:r>
          </w:p>
        </w:tc>
        <w:tc>
          <w:tcPr>
            <w:tcW w:w="2320" w:type="dxa"/>
            <w:tcBorders>
              <w:bottom w:val="single" w:sz="4" w:space="0" w:color="auto"/>
              <w:right w:val="single" w:sz="4" w:space="0" w:color="auto"/>
            </w:tcBorders>
            <w:noWrap/>
            <w:vAlign w:val="bottom"/>
            <w:hideMark/>
          </w:tcPr>
          <w:p w14:paraId="463006A6" w14:textId="2F32FD6D"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nstagram</w:t>
            </w:r>
          </w:p>
        </w:tc>
      </w:tr>
      <w:tr w:rsidR="00DC2CBD" w:rsidRPr="00DC2CBD" w14:paraId="274B656B"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1B9F83F4"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8/1/2024</w:t>
            </w:r>
          </w:p>
        </w:tc>
        <w:tc>
          <w:tcPr>
            <w:tcW w:w="1290" w:type="dxa"/>
            <w:tcBorders>
              <w:bottom w:val="single" w:sz="4" w:space="0" w:color="auto"/>
              <w:right w:val="single" w:sz="4" w:space="0" w:color="auto"/>
            </w:tcBorders>
            <w:noWrap/>
            <w:vAlign w:val="bottom"/>
            <w:hideMark/>
          </w:tcPr>
          <w:p w14:paraId="5195DBF1"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1,042</w:t>
            </w:r>
          </w:p>
        </w:tc>
        <w:tc>
          <w:tcPr>
            <w:tcW w:w="5540" w:type="dxa"/>
            <w:tcBorders>
              <w:bottom w:val="single" w:sz="4" w:space="0" w:color="auto"/>
              <w:right w:val="single" w:sz="4" w:space="0" w:color="auto"/>
            </w:tcBorders>
            <w:noWrap/>
            <w:vAlign w:val="bottom"/>
            <w:hideMark/>
          </w:tcPr>
          <w:p w14:paraId="7D237E25"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Reminder for 8/1 community meeting</w:t>
            </w:r>
          </w:p>
        </w:tc>
        <w:tc>
          <w:tcPr>
            <w:tcW w:w="2320" w:type="dxa"/>
            <w:tcBorders>
              <w:bottom w:val="single" w:sz="4" w:space="0" w:color="auto"/>
              <w:right w:val="single" w:sz="4" w:space="0" w:color="auto"/>
            </w:tcBorders>
            <w:noWrap/>
            <w:vAlign w:val="bottom"/>
            <w:hideMark/>
          </w:tcPr>
          <w:p w14:paraId="55AB4A3A"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proofErr w:type="spellStart"/>
            <w:r w:rsidRPr="00DC2CBD">
              <w:rPr>
                <w:rFonts w:ascii="Times New Roman" w:eastAsia="Times New Roman" w:hAnsi="Times New Roman" w:cs="Times New Roman"/>
                <w:color w:val="000000"/>
                <w:sz w:val="24"/>
                <w:szCs w:val="24"/>
              </w:rPr>
              <w:t>NextDoor</w:t>
            </w:r>
            <w:proofErr w:type="spellEnd"/>
          </w:p>
        </w:tc>
      </w:tr>
      <w:tr w:rsidR="00DC2CBD" w:rsidRPr="00DC2CBD" w14:paraId="0996C225"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127E8541"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7/31/2024</w:t>
            </w:r>
          </w:p>
        </w:tc>
        <w:tc>
          <w:tcPr>
            <w:tcW w:w="1290" w:type="dxa"/>
            <w:tcBorders>
              <w:bottom w:val="single" w:sz="4" w:space="0" w:color="auto"/>
              <w:right w:val="single" w:sz="4" w:space="0" w:color="auto"/>
            </w:tcBorders>
            <w:noWrap/>
            <w:vAlign w:val="bottom"/>
            <w:hideMark/>
          </w:tcPr>
          <w:p w14:paraId="1ACAB7C0"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349</w:t>
            </w:r>
          </w:p>
        </w:tc>
        <w:tc>
          <w:tcPr>
            <w:tcW w:w="5540" w:type="dxa"/>
            <w:tcBorders>
              <w:bottom w:val="single" w:sz="4" w:space="0" w:color="auto"/>
              <w:right w:val="single" w:sz="4" w:space="0" w:color="auto"/>
            </w:tcBorders>
            <w:noWrap/>
            <w:vAlign w:val="bottom"/>
            <w:hideMark/>
          </w:tcPr>
          <w:p w14:paraId="6DF80FDF"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Reminder for 8/1 community meeting</w:t>
            </w:r>
          </w:p>
        </w:tc>
        <w:tc>
          <w:tcPr>
            <w:tcW w:w="2320" w:type="dxa"/>
            <w:tcBorders>
              <w:bottom w:val="single" w:sz="4" w:space="0" w:color="auto"/>
              <w:right w:val="single" w:sz="4" w:space="0" w:color="auto"/>
            </w:tcBorders>
            <w:noWrap/>
            <w:vAlign w:val="bottom"/>
            <w:hideMark/>
          </w:tcPr>
          <w:p w14:paraId="6085D705"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Facebook</w:t>
            </w:r>
          </w:p>
        </w:tc>
      </w:tr>
      <w:tr w:rsidR="00DC2CBD" w:rsidRPr="00DC2CBD" w14:paraId="32EA0996"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77A2CB6C"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7/23/2024</w:t>
            </w:r>
          </w:p>
        </w:tc>
        <w:tc>
          <w:tcPr>
            <w:tcW w:w="1290" w:type="dxa"/>
            <w:tcBorders>
              <w:bottom w:val="single" w:sz="4" w:space="0" w:color="auto"/>
              <w:right w:val="single" w:sz="4" w:space="0" w:color="auto"/>
            </w:tcBorders>
            <w:noWrap/>
            <w:vAlign w:val="bottom"/>
            <w:hideMark/>
          </w:tcPr>
          <w:p w14:paraId="3B62E11A"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760</w:t>
            </w:r>
          </w:p>
        </w:tc>
        <w:tc>
          <w:tcPr>
            <w:tcW w:w="5540" w:type="dxa"/>
            <w:tcBorders>
              <w:bottom w:val="single" w:sz="4" w:space="0" w:color="auto"/>
              <w:right w:val="single" w:sz="4" w:space="0" w:color="auto"/>
            </w:tcBorders>
            <w:noWrap/>
            <w:vAlign w:val="bottom"/>
            <w:hideMark/>
          </w:tcPr>
          <w:p w14:paraId="5B626774"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Created event</w:t>
            </w:r>
          </w:p>
        </w:tc>
        <w:tc>
          <w:tcPr>
            <w:tcW w:w="2320" w:type="dxa"/>
            <w:tcBorders>
              <w:bottom w:val="single" w:sz="4" w:space="0" w:color="auto"/>
              <w:right w:val="single" w:sz="4" w:space="0" w:color="auto"/>
            </w:tcBorders>
            <w:noWrap/>
            <w:vAlign w:val="bottom"/>
            <w:hideMark/>
          </w:tcPr>
          <w:p w14:paraId="6927B224"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Facebook</w:t>
            </w:r>
          </w:p>
        </w:tc>
      </w:tr>
      <w:tr w:rsidR="00DC2CBD" w:rsidRPr="00DC2CBD" w14:paraId="0FD91DC6"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577E98A8"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7/23/2024</w:t>
            </w:r>
          </w:p>
        </w:tc>
        <w:tc>
          <w:tcPr>
            <w:tcW w:w="1290" w:type="dxa"/>
            <w:tcBorders>
              <w:bottom w:val="single" w:sz="4" w:space="0" w:color="auto"/>
              <w:right w:val="single" w:sz="4" w:space="0" w:color="auto"/>
            </w:tcBorders>
            <w:noWrap/>
            <w:vAlign w:val="bottom"/>
            <w:hideMark/>
          </w:tcPr>
          <w:p w14:paraId="2EB344B7"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913</w:t>
            </w:r>
          </w:p>
        </w:tc>
        <w:tc>
          <w:tcPr>
            <w:tcW w:w="5540" w:type="dxa"/>
            <w:tcBorders>
              <w:bottom w:val="single" w:sz="4" w:space="0" w:color="auto"/>
              <w:right w:val="single" w:sz="4" w:space="0" w:color="auto"/>
            </w:tcBorders>
            <w:noWrap/>
            <w:vAlign w:val="bottom"/>
            <w:hideMark/>
          </w:tcPr>
          <w:p w14:paraId="2E5FF899"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Created event</w:t>
            </w:r>
          </w:p>
        </w:tc>
        <w:tc>
          <w:tcPr>
            <w:tcW w:w="2320" w:type="dxa"/>
            <w:tcBorders>
              <w:bottom w:val="single" w:sz="4" w:space="0" w:color="auto"/>
              <w:right w:val="single" w:sz="4" w:space="0" w:color="auto"/>
            </w:tcBorders>
            <w:noWrap/>
            <w:vAlign w:val="bottom"/>
            <w:hideMark/>
          </w:tcPr>
          <w:p w14:paraId="32D0D070"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proofErr w:type="spellStart"/>
            <w:r w:rsidRPr="00DC2CBD">
              <w:rPr>
                <w:rFonts w:ascii="Times New Roman" w:eastAsia="Times New Roman" w:hAnsi="Times New Roman" w:cs="Times New Roman"/>
                <w:color w:val="000000"/>
                <w:sz w:val="24"/>
                <w:szCs w:val="24"/>
              </w:rPr>
              <w:t>NextDoor</w:t>
            </w:r>
            <w:proofErr w:type="spellEnd"/>
          </w:p>
        </w:tc>
      </w:tr>
      <w:tr w:rsidR="00DC2CBD" w:rsidRPr="00DC2CBD" w14:paraId="52A67AE6"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1757FA8A"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7/19/2024</w:t>
            </w:r>
          </w:p>
        </w:tc>
        <w:tc>
          <w:tcPr>
            <w:tcW w:w="1290" w:type="dxa"/>
            <w:tcBorders>
              <w:bottom w:val="single" w:sz="4" w:space="0" w:color="auto"/>
              <w:right w:val="single" w:sz="4" w:space="0" w:color="auto"/>
            </w:tcBorders>
            <w:noWrap/>
            <w:vAlign w:val="bottom"/>
            <w:hideMark/>
          </w:tcPr>
          <w:p w14:paraId="25335028"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852</w:t>
            </w:r>
          </w:p>
        </w:tc>
        <w:tc>
          <w:tcPr>
            <w:tcW w:w="5540" w:type="dxa"/>
            <w:tcBorders>
              <w:bottom w:val="single" w:sz="4" w:space="0" w:color="auto"/>
              <w:right w:val="single" w:sz="4" w:space="0" w:color="auto"/>
            </w:tcBorders>
            <w:noWrap/>
            <w:vAlign w:val="bottom"/>
            <w:hideMark/>
          </w:tcPr>
          <w:p w14:paraId="3C96E812"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Rescheduled meeting date to 8/1</w:t>
            </w:r>
          </w:p>
        </w:tc>
        <w:tc>
          <w:tcPr>
            <w:tcW w:w="2320" w:type="dxa"/>
            <w:tcBorders>
              <w:bottom w:val="single" w:sz="4" w:space="0" w:color="auto"/>
              <w:right w:val="single" w:sz="4" w:space="0" w:color="auto"/>
            </w:tcBorders>
            <w:noWrap/>
            <w:vAlign w:val="bottom"/>
            <w:hideMark/>
          </w:tcPr>
          <w:p w14:paraId="0451D6B4"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Facebook</w:t>
            </w:r>
          </w:p>
        </w:tc>
      </w:tr>
      <w:tr w:rsidR="00DC2CBD" w:rsidRPr="00DC2CBD" w14:paraId="1E47DA82"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57C5BCA5"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7/19/2024</w:t>
            </w:r>
          </w:p>
        </w:tc>
        <w:tc>
          <w:tcPr>
            <w:tcW w:w="1290" w:type="dxa"/>
            <w:tcBorders>
              <w:bottom w:val="single" w:sz="4" w:space="0" w:color="auto"/>
              <w:right w:val="single" w:sz="4" w:space="0" w:color="auto"/>
            </w:tcBorders>
            <w:noWrap/>
            <w:vAlign w:val="bottom"/>
            <w:hideMark/>
          </w:tcPr>
          <w:p w14:paraId="57E2DFC7"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866</w:t>
            </w:r>
          </w:p>
        </w:tc>
        <w:tc>
          <w:tcPr>
            <w:tcW w:w="5540" w:type="dxa"/>
            <w:tcBorders>
              <w:bottom w:val="single" w:sz="4" w:space="0" w:color="auto"/>
              <w:right w:val="single" w:sz="4" w:space="0" w:color="auto"/>
            </w:tcBorders>
            <w:noWrap/>
            <w:vAlign w:val="bottom"/>
            <w:hideMark/>
          </w:tcPr>
          <w:p w14:paraId="35AFCD54"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Rescheduled meeting date to 8/1</w:t>
            </w:r>
          </w:p>
        </w:tc>
        <w:tc>
          <w:tcPr>
            <w:tcW w:w="2320" w:type="dxa"/>
            <w:tcBorders>
              <w:bottom w:val="single" w:sz="4" w:space="0" w:color="auto"/>
              <w:right w:val="single" w:sz="4" w:space="0" w:color="auto"/>
            </w:tcBorders>
            <w:noWrap/>
            <w:vAlign w:val="bottom"/>
            <w:hideMark/>
          </w:tcPr>
          <w:p w14:paraId="3464E8E8" w14:textId="68FD8AC6"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nstagram</w:t>
            </w:r>
          </w:p>
        </w:tc>
      </w:tr>
      <w:tr w:rsidR="00DC2CBD" w:rsidRPr="00DC2CBD" w14:paraId="25124135"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459678FB"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7/10/2024</w:t>
            </w:r>
          </w:p>
        </w:tc>
        <w:tc>
          <w:tcPr>
            <w:tcW w:w="1290" w:type="dxa"/>
            <w:tcBorders>
              <w:bottom w:val="single" w:sz="4" w:space="0" w:color="auto"/>
              <w:right w:val="single" w:sz="4" w:space="0" w:color="auto"/>
            </w:tcBorders>
            <w:noWrap/>
            <w:vAlign w:val="bottom"/>
            <w:hideMark/>
          </w:tcPr>
          <w:p w14:paraId="38AC0129"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1,256</w:t>
            </w:r>
          </w:p>
        </w:tc>
        <w:tc>
          <w:tcPr>
            <w:tcW w:w="5540" w:type="dxa"/>
            <w:tcBorders>
              <w:bottom w:val="single" w:sz="4" w:space="0" w:color="auto"/>
              <w:right w:val="single" w:sz="4" w:space="0" w:color="auto"/>
            </w:tcBorders>
            <w:noWrap/>
            <w:vAlign w:val="bottom"/>
            <w:hideMark/>
          </w:tcPr>
          <w:p w14:paraId="39B562C7"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Final community meeting promo</w:t>
            </w:r>
          </w:p>
        </w:tc>
        <w:tc>
          <w:tcPr>
            <w:tcW w:w="2320" w:type="dxa"/>
            <w:tcBorders>
              <w:bottom w:val="single" w:sz="4" w:space="0" w:color="auto"/>
              <w:right w:val="single" w:sz="4" w:space="0" w:color="auto"/>
            </w:tcBorders>
            <w:noWrap/>
            <w:vAlign w:val="bottom"/>
            <w:hideMark/>
          </w:tcPr>
          <w:p w14:paraId="7E9B40CF"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Facebook</w:t>
            </w:r>
          </w:p>
        </w:tc>
      </w:tr>
      <w:tr w:rsidR="00DC2CBD" w:rsidRPr="00DC2CBD" w14:paraId="1D820DF9"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485C5968"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7/10/2024</w:t>
            </w:r>
          </w:p>
        </w:tc>
        <w:tc>
          <w:tcPr>
            <w:tcW w:w="1290" w:type="dxa"/>
            <w:tcBorders>
              <w:bottom w:val="single" w:sz="4" w:space="0" w:color="auto"/>
              <w:right w:val="single" w:sz="4" w:space="0" w:color="auto"/>
            </w:tcBorders>
            <w:noWrap/>
            <w:vAlign w:val="bottom"/>
            <w:hideMark/>
          </w:tcPr>
          <w:p w14:paraId="19DECBBE"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756</w:t>
            </w:r>
          </w:p>
        </w:tc>
        <w:tc>
          <w:tcPr>
            <w:tcW w:w="5540" w:type="dxa"/>
            <w:tcBorders>
              <w:bottom w:val="single" w:sz="4" w:space="0" w:color="auto"/>
              <w:right w:val="single" w:sz="4" w:space="0" w:color="auto"/>
            </w:tcBorders>
            <w:noWrap/>
            <w:vAlign w:val="bottom"/>
            <w:hideMark/>
          </w:tcPr>
          <w:p w14:paraId="133AED27"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Final community meeting promo</w:t>
            </w:r>
          </w:p>
        </w:tc>
        <w:tc>
          <w:tcPr>
            <w:tcW w:w="2320" w:type="dxa"/>
            <w:tcBorders>
              <w:bottom w:val="single" w:sz="4" w:space="0" w:color="auto"/>
              <w:right w:val="single" w:sz="4" w:space="0" w:color="auto"/>
            </w:tcBorders>
            <w:noWrap/>
            <w:vAlign w:val="bottom"/>
            <w:hideMark/>
          </w:tcPr>
          <w:p w14:paraId="56A89C53" w14:textId="0BA389F9"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nstagram</w:t>
            </w:r>
          </w:p>
        </w:tc>
      </w:tr>
      <w:tr w:rsidR="00DC2CBD" w:rsidRPr="00DC2CBD" w14:paraId="4FCADB37"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215EB990"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6/12/2024</w:t>
            </w:r>
          </w:p>
        </w:tc>
        <w:tc>
          <w:tcPr>
            <w:tcW w:w="1290" w:type="dxa"/>
            <w:tcBorders>
              <w:bottom w:val="single" w:sz="4" w:space="0" w:color="auto"/>
              <w:right w:val="single" w:sz="4" w:space="0" w:color="auto"/>
            </w:tcBorders>
            <w:noWrap/>
            <w:vAlign w:val="bottom"/>
            <w:hideMark/>
          </w:tcPr>
          <w:p w14:paraId="4A019451"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1,115</w:t>
            </w:r>
          </w:p>
        </w:tc>
        <w:tc>
          <w:tcPr>
            <w:tcW w:w="5540" w:type="dxa"/>
            <w:tcBorders>
              <w:bottom w:val="single" w:sz="4" w:space="0" w:color="auto"/>
              <w:right w:val="single" w:sz="4" w:space="0" w:color="auto"/>
            </w:tcBorders>
            <w:noWrap/>
            <w:vAlign w:val="bottom"/>
            <w:hideMark/>
          </w:tcPr>
          <w:p w14:paraId="39A3BA72" w14:textId="5222ADA8"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xml:space="preserve">Meeting reminder in </w:t>
            </w:r>
            <w:r>
              <w:rPr>
                <w:rFonts w:ascii="Times New Roman" w:eastAsia="Times New Roman" w:hAnsi="Times New Roman" w:cs="Times New Roman"/>
                <w:color w:val="000000"/>
                <w:sz w:val="24"/>
                <w:szCs w:val="24"/>
              </w:rPr>
              <w:t>E</w:t>
            </w:r>
            <w:r w:rsidRPr="00DC2CBD">
              <w:rPr>
                <w:rFonts w:ascii="Times New Roman" w:eastAsia="Times New Roman" w:hAnsi="Times New Roman" w:cs="Times New Roman"/>
                <w:color w:val="000000"/>
                <w:sz w:val="24"/>
                <w:szCs w:val="24"/>
              </w:rPr>
              <w:t>nglish</w:t>
            </w:r>
          </w:p>
        </w:tc>
        <w:tc>
          <w:tcPr>
            <w:tcW w:w="2320" w:type="dxa"/>
            <w:tcBorders>
              <w:bottom w:val="single" w:sz="4" w:space="0" w:color="auto"/>
              <w:right w:val="single" w:sz="4" w:space="0" w:color="auto"/>
            </w:tcBorders>
            <w:noWrap/>
            <w:vAlign w:val="bottom"/>
            <w:hideMark/>
          </w:tcPr>
          <w:p w14:paraId="59348B24"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Facebook</w:t>
            </w:r>
          </w:p>
        </w:tc>
      </w:tr>
      <w:tr w:rsidR="00DC2CBD" w:rsidRPr="00DC2CBD" w14:paraId="74708BFB"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34489F7A"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6/12/2024</w:t>
            </w:r>
          </w:p>
        </w:tc>
        <w:tc>
          <w:tcPr>
            <w:tcW w:w="1290" w:type="dxa"/>
            <w:tcBorders>
              <w:bottom w:val="single" w:sz="4" w:space="0" w:color="auto"/>
              <w:right w:val="single" w:sz="4" w:space="0" w:color="auto"/>
            </w:tcBorders>
            <w:noWrap/>
            <w:vAlign w:val="bottom"/>
            <w:hideMark/>
          </w:tcPr>
          <w:p w14:paraId="611AE4A2"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623</w:t>
            </w:r>
          </w:p>
        </w:tc>
        <w:tc>
          <w:tcPr>
            <w:tcW w:w="5540" w:type="dxa"/>
            <w:tcBorders>
              <w:bottom w:val="single" w:sz="4" w:space="0" w:color="auto"/>
              <w:right w:val="single" w:sz="4" w:space="0" w:color="auto"/>
            </w:tcBorders>
            <w:noWrap/>
            <w:vAlign w:val="bottom"/>
            <w:hideMark/>
          </w:tcPr>
          <w:p w14:paraId="5FC20878" w14:textId="213C62E8"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xml:space="preserve">Meeting reminder in </w:t>
            </w:r>
            <w:r>
              <w:rPr>
                <w:rFonts w:ascii="Times New Roman" w:eastAsia="Times New Roman" w:hAnsi="Times New Roman" w:cs="Times New Roman"/>
                <w:color w:val="000000"/>
                <w:sz w:val="24"/>
                <w:szCs w:val="24"/>
              </w:rPr>
              <w:t>E</w:t>
            </w:r>
            <w:r w:rsidRPr="00DC2CBD">
              <w:rPr>
                <w:rFonts w:ascii="Times New Roman" w:eastAsia="Times New Roman" w:hAnsi="Times New Roman" w:cs="Times New Roman"/>
                <w:color w:val="000000"/>
                <w:sz w:val="24"/>
                <w:szCs w:val="24"/>
              </w:rPr>
              <w:t>nglish</w:t>
            </w:r>
          </w:p>
        </w:tc>
        <w:tc>
          <w:tcPr>
            <w:tcW w:w="2320" w:type="dxa"/>
            <w:tcBorders>
              <w:bottom w:val="single" w:sz="4" w:space="0" w:color="auto"/>
              <w:right w:val="single" w:sz="4" w:space="0" w:color="auto"/>
            </w:tcBorders>
            <w:noWrap/>
            <w:vAlign w:val="bottom"/>
            <w:hideMark/>
          </w:tcPr>
          <w:p w14:paraId="31CBD9D5" w14:textId="1F66315F"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nstagram</w:t>
            </w:r>
          </w:p>
        </w:tc>
      </w:tr>
      <w:tr w:rsidR="00DC2CBD" w:rsidRPr="00DC2CBD" w14:paraId="290632A0"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1CB70097"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6/12/2024</w:t>
            </w:r>
          </w:p>
        </w:tc>
        <w:tc>
          <w:tcPr>
            <w:tcW w:w="1290" w:type="dxa"/>
            <w:tcBorders>
              <w:bottom w:val="single" w:sz="4" w:space="0" w:color="auto"/>
              <w:right w:val="single" w:sz="4" w:space="0" w:color="auto"/>
            </w:tcBorders>
            <w:noWrap/>
            <w:vAlign w:val="bottom"/>
            <w:hideMark/>
          </w:tcPr>
          <w:p w14:paraId="339E639E"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658</w:t>
            </w:r>
          </w:p>
        </w:tc>
        <w:tc>
          <w:tcPr>
            <w:tcW w:w="5540" w:type="dxa"/>
            <w:tcBorders>
              <w:bottom w:val="single" w:sz="4" w:space="0" w:color="auto"/>
              <w:right w:val="single" w:sz="4" w:space="0" w:color="auto"/>
            </w:tcBorders>
            <w:noWrap/>
            <w:vAlign w:val="bottom"/>
            <w:hideMark/>
          </w:tcPr>
          <w:p w14:paraId="5E60782B" w14:textId="61DF2F5D"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xml:space="preserve">Meeting reminder in </w:t>
            </w:r>
            <w:r>
              <w:rPr>
                <w:rFonts w:ascii="Times New Roman" w:eastAsia="Times New Roman" w:hAnsi="Times New Roman" w:cs="Times New Roman"/>
                <w:color w:val="000000"/>
                <w:sz w:val="24"/>
                <w:szCs w:val="24"/>
              </w:rPr>
              <w:t>S</w:t>
            </w:r>
            <w:r w:rsidRPr="00DC2CBD">
              <w:rPr>
                <w:rFonts w:ascii="Times New Roman" w:eastAsia="Times New Roman" w:hAnsi="Times New Roman" w:cs="Times New Roman"/>
                <w:color w:val="000000"/>
                <w:sz w:val="24"/>
                <w:szCs w:val="24"/>
              </w:rPr>
              <w:t>panish</w:t>
            </w:r>
          </w:p>
        </w:tc>
        <w:tc>
          <w:tcPr>
            <w:tcW w:w="2320" w:type="dxa"/>
            <w:tcBorders>
              <w:bottom w:val="single" w:sz="4" w:space="0" w:color="auto"/>
              <w:right w:val="single" w:sz="4" w:space="0" w:color="auto"/>
            </w:tcBorders>
            <w:noWrap/>
            <w:vAlign w:val="bottom"/>
            <w:hideMark/>
          </w:tcPr>
          <w:p w14:paraId="35EEE64F"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Facebook</w:t>
            </w:r>
          </w:p>
        </w:tc>
      </w:tr>
      <w:tr w:rsidR="00DC2CBD" w:rsidRPr="00DC2CBD" w14:paraId="0259A4A4"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6DD0FA5D"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5/17/2024</w:t>
            </w:r>
          </w:p>
        </w:tc>
        <w:tc>
          <w:tcPr>
            <w:tcW w:w="1290" w:type="dxa"/>
            <w:tcBorders>
              <w:bottom w:val="single" w:sz="4" w:space="0" w:color="auto"/>
              <w:right w:val="single" w:sz="4" w:space="0" w:color="auto"/>
            </w:tcBorders>
            <w:noWrap/>
            <w:vAlign w:val="bottom"/>
            <w:hideMark/>
          </w:tcPr>
          <w:p w14:paraId="0521C49D"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1,175</w:t>
            </w:r>
          </w:p>
        </w:tc>
        <w:tc>
          <w:tcPr>
            <w:tcW w:w="5540" w:type="dxa"/>
            <w:tcBorders>
              <w:bottom w:val="single" w:sz="4" w:space="0" w:color="auto"/>
              <w:right w:val="single" w:sz="4" w:space="0" w:color="auto"/>
            </w:tcBorders>
            <w:noWrap/>
            <w:vAlign w:val="bottom"/>
            <w:hideMark/>
          </w:tcPr>
          <w:p w14:paraId="7B80740D" w14:textId="0AD5A3BD"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June Zoom and in perso</w:t>
            </w:r>
            <w:r>
              <w:rPr>
                <w:rFonts w:ascii="Times New Roman" w:eastAsia="Times New Roman" w:hAnsi="Times New Roman" w:cs="Times New Roman"/>
                <w:color w:val="000000"/>
                <w:sz w:val="24"/>
                <w:szCs w:val="24"/>
              </w:rPr>
              <w:t>n</w:t>
            </w:r>
            <w:r w:rsidRPr="00DC2CBD">
              <w:rPr>
                <w:rFonts w:ascii="Times New Roman" w:eastAsia="Times New Roman" w:hAnsi="Times New Roman" w:cs="Times New Roman"/>
                <w:color w:val="000000"/>
                <w:sz w:val="24"/>
                <w:szCs w:val="24"/>
              </w:rPr>
              <w:t xml:space="preserve"> meeting promo</w:t>
            </w:r>
          </w:p>
        </w:tc>
        <w:tc>
          <w:tcPr>
            <w:tcW w:w="2320" w:type="dxa"/>
            <w:tcBorders>
              <w:bottom w:val="single" w:sz="4" w:space="0" w:color="auto"/>
              <w:right w:val="single" w:sz="4" w:space="0" w:color="auto"/>
            </w:tcBorders>
            <w:noWrap/>
            <w:vAlign w:val="bottom"/>
            <w:hideMark/>
          </w:tcPr>
          <w:p w14:paraId="09F11FB2"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Facebook</w:t>
            </w:r>
          </w:p>
        </w:tc>
      </w:tr>
      <w:tr w:rsidR="00DC2CBD" w:rsidRPr="00DC2CBD" w14:paraId="4B0CA3E5"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440DEB2A"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5/17/2024</w:t>
            </w:r>
          </w:p>
        </w:tc>
        <w:tc>
          <w:tcPr>
            <w:tcW w:w="1290" w:type="dxa"/>
            <w:tcBorders>
              <w:bottom w:val="single" w:sz="4" w:space="0" w:color="auto"/>
              <w:right w:val="single" w:sz="4" w:space="0" w:color="auto"/>
            </w:tcBorders>
            <w:noWrap/>
            <w:vAlign w:val="bottom"/>
            <w:hideMark/>
          </w:tcPr>
          <w:p w14:paraId="65037DF4"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506</w:t>
            </w:r>
          </w:p>
        </w:tc>
        <w:tc>
          <w:tcPr>
            <w:tcW w:w="5540" w:type="dxa"/>
            <w:tcBorders>
              <w:bottom w:val="single" w:sz="4" w:space="0" w:color="auto"/>
              <w:right w:val="single" w:sz="4" w:space="0" w:color="auto"/>
            </w:tcBorders>
            <w:noWrap/>
            <w:vAlign w:val="bottom"/>
            <w:hideMark/>
          </w:tcPr>
          <w:p w14:paraId="5203E65C" w14:textId="65D7B192"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June Zoom and in perso</w:t>
            </w:r>
            <w:r>
              <w:rPr>
                <w:rFonts w:ascii="Times New Roman" w:eastAsia="Times New Roman" w:hAnsi="Times New Roman" w:cs="Times New Roman"/>
                <w:color w:val="000000"/>
                <w:sz w:val="24"/>
                <w:szCs w:val="24"/>
              </w:rPr>
              <w:t>n</w:t>
            </w:r>
            <w:r w:rsidRPr="00DC2CBD">
              <w:rPr>
                <w:rFonts w:ascii="Times New Roman" w:eastAsia="Times New Roman" w:hAnsi="Times New Roman" w:cs="Times New Roman"/>
                <w:color w:val="000000"/>
                <w:sz w:val="24"/>
                <w:szCs w:val="24"/>
              </w:rPr>
              <w:t xml:space="preserve"> meeting promo</w:t>
            </w:r>
          </w:p>
        </w:tc>
        <w:tc>
          <w:tcPr>
            <w:tcW w:w="2320" w:type="dxa"/>
            <w:tcBorders>
              <w:bottom w:val="single" w:sz="4" w:space="0" w:color="auto"/>
              <w:right w:val="single" w:sz="4" w:space="0" w:color="auto"/>
            </w:tcBorders>
            <w:noWrap/>
            <w:vAlign w:val="bottom"/>
            <w:hideMark/>
          </w:tcPr>
          <w:p w14:paraId="7AA946C3" w14:textId="52A42A18"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nstagram</w:t>
            </w:r>
          </w:p>
        </w:tc>
      </w:tr>
      <w:tr w:rsidR="00DC2CBD" w:rsidRPr="00DC2CBD" w14:paraId="1D128B7D"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3EF8682D"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3/26/2024</w:t>
            </w:r>
          </w:p>
        </w:tc>
        <w:tc>
          <w:tcPr>
            <w:tcW w:w="1290" w:type="dxa"/>
            <w:tcBorders>
              <w:bottom w:val="single" w:sz="4" w:space="0" w:color="auto"/>
              <w:right w:val="single" w:sz="4" w:space="0" w:color="auto"/>
            </w:tcBorders>
            <w:noWrap/>
            <w:vAlign w:val="bottom"/>
            <w:hideMark/>
          </w:tcPr>
          <w:p w14:paraId="5AC153F9"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10,940</w:t>
            </w:r>
          </w:p>
        </w:tc>
        <w:tc>
          <w:tcPr>
            <w:tcW w:w="5540" w:type="dxa"/>
            <w:tcBorders>
              <w:bottom w:val="single" w:sz="4" w:space="0" w:color="auto"/>
              <w:right w:val="single" w:sz="4" w:space="0" w:color="auto"/>
            </w:tcBorders>
            <w:noWrap/>
            <w:vAlign w:val="bottom"/>
            <w:hideMark/>
          </w:tcPr>
          <w:p w14:paraId="45BF5830"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English survey</w:t>
            </w:r>
          </w:p>
        </w:tc>
        <w:tc>
          <w:tcPr>
            <w:tcW w:w="2320" w:type="dxa"/>
            <w:tcBorders>
              <w:bottom w:val="single" w:sz="4" w:space="0" w:color="auto"/>
              <w:right w:val="single" w:sz="4" w:space="0" w:color="auto"/>
            </w:tcBorders>
            <w:noWrap/>
            <w:vAlign w:val="bottom"/>
            <w:hideMark/>
          </w:tcPr>
          <w:p w14:paraId="58A71662"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Facebook</w:t>
            </w:r>
          </w:p>
        </w:tc>
      </w:tr>
      <w:tr w:rsidR="00DC2CBD" w:rsidRPr="00DC2CBD" w14:paraId="56A0DB75"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6B7E04BD"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3/26/2024</w:t>
            </w:r>
          </w:p>
        </w:tc>
        <w:tc>
          <w:tcPr>
            <w:tcW w:w="1290" w:type="dxa"/>
            <w:tcBorders>
              <w:bottom w:val="single" w:sz="4" w:space="0" w:color="auto"/>
              <w:right w:val="single" w:sz="4" w:space="0" w:color="auto"/>
            </w:tcBorders>
            <w:noWrap/>
            <w:vAlign w:val="bottom"/>
            <w:hideMark/>
          </w:tcPr>
          <w:p w14:paraId="5C88A7B1"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1,345</w:t>
            </w:r>
          </w:p>
        </w:tc>
        <w:tc>
          <w:tcPr>
            <w:tcW w:w="5540" w:type="dxa"/>
            <w:tcBorders>
              <w:bottom w:val="single" w:sz="4" w:space="0" w:color="auto"/>
              <w:right w:val="single" w:sz="4" w:space="0" w:color="auto"/>
            </w:tcBorders>
            <w:noWrap/>
            <w:vAlign w:val="bottom"/>
            <w:hideMark/>
          </w:tcPr>
          <w:p w14:paraId="019613D6"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English survey</w:t>
            </w:r>
          </w:p>
        </w:tc>
        <w:tc>
          <w:tcPr>
            <w:tcW w:w="2320" w:type="dxa"/>
            <w:tcBorders>
              <w:bottom w:val="single" w:sz="4" w:space="0" w:color="auto"/>
              <w:right w:val="single" w:sz="4" w:space="0" w:color="auto"/>
            </w:tcBorders>
            <w:noWrap/>
            <w:vAlign w:val="bottom"/>
            <w:hideMark/>
          </w:tcPr>
          <w:p w14:paraId="7583A6BF" w14:textId="6B0AC02B"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nstagram</w:t>
            </w:r>
          </w:p>
        </w:tc>
      </w:tr>
      <w:tr w:rsidR="00DC2CBD" w:rsidRPr="00DC2CBD" w14:paraId="17EA45E6"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740FF649"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3/26/2024</w:t>
            </w:r>
          </w:p>
        </w:tc>
        <w:tc>
          <w:tcPr>
            <w:tcW w:w="1290" w:type="dxa"/>
            <w:tcBorders>
              <w:bottom w:val="single" w:sz="4" w:space="0" w:color="auto"/>
              <w:right w:val="single" w:sz="4" w:space="0" w:color="auto"/>
            </w:tcBorders>
            <w:noWrap/>
            <w:vAlign w:val="bottom"/>
            <w:hideMark/>
          </w:tcPr>
          <w:p w14:paraId="2368461B"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923</w:t>
            </w:r>
          </w:p>
        </w:tc>
        <w:tc>
          <w:tcPr>
            <w:tcW w:w="5540" w:type="dxa"/>
            <w:tcBorders>
              <w:bottom w:val="single" w:sz="4" w:space="0" w:color="auto"/>
              <w:right w:val="single" w:sz="4" w:space="0" w:color="auto"/>
            </w:tcBorders>
            <w:noWrap/>
            <w:vAlign w:val="bottom"/>
            <w:hideMark/>
          </w:tcPr>
          <w:p w14:paraId="72564FC0"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Spanish Survey</w:t>
            </w:r>
          </w:p>
        </w:tc>
        <w:tc>
          <w:tcPr>
            <w:tcW w:w="2320" w:type="dxa"/>
            <w:tcBorders>
              <w:bottom w:val="single" w:sz="4" w:space="0" w:color="auto"/>
              <w:right w:val="single" w:sz="4" w:space="0" w:color="auto"/>
            </w:tcBorders>
            <w:noWrap/>
            <w:vAlign w:val="bottom"/>
            <w:hideMark/>
          </w:tcPr>
          <w:p w14:paraId="743E5FB3"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Facebook</w:t>
            </w:r>
          </w:p>
        </w:tc>
      </w:tr>
      <w:tr w:rsidR="00DC2CBD" w:rsidRPr="00DC2CBD" w14:paraId="0F46FB65"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11884360"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3/26/2024</w:t>
            </w:r>
          </w:p>
        </w:tc>
        <w:tc>
          <w:tcPr>
            <w:tcW w:w="1290" w:type="dxa"/>
            <w:tcBorders>
              <w:bottom w:val="single" w:sz="4" w:space="0" w:color="auto"/>
              <w:right w:val="single" w:sz="4" w:space="0" w:color="auto"/>
            </w:tcBorders>
            <w:noWrap/>
            <w:vAlign w:val="bottom"/>
            <w:hideMark/>
          </w:tcPr>
          <w:p w14:paraId="338D83E8"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533</w:t>
            </w:r>
          </w:p>
        </w:tc>
        <w:tc>
          <w:tcPr>
            <w:tcW w:w="5540" w:type="dxa"/>
            <w:tcBorders>
              <w:bottom w:val="single" w:sz="4" w:space="0" w:color="auto"/>
              <w:right w:val="single" w:sz="4" w:space="0" w:color="auto"/>
            </w:tcBorders>
            <w:noWrap/>
            <w:vAlign w:val="bottom"/>
            <w:hideMark/>
          </w:tcPr>
          <w:p w14:paraId="570A2070"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Spanish Survey</w:t>
            </w:r>
          </w:p>
        </w:tc>
        <w:tc>
          <w:tcPr>
            <w:tcW w:w="2320" w:type="dxa"/>
            <w:tcBorders>
              <w:bottom w:val="single" w:sz="4" w:space="0" w:color="auto"/>
              <w:right w:val="single" w:sz="4" w:space="0" w:color="auto"/>
            </w:tcBorders>
            <w:noWrap/>
            <w:vAlign w:val="bottom"/>
            <w:hideMark/>
          </w:tcPr>
          <w:p w14:paraId="3A8B5BA1" w14:textId="39E17E94"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nstagram</w:t>
            </w:r>
          </w:p>
        </w:tc>
      </w:tr>
      <w:tr w:rsidR="00DC2CBD" w:rsidRPr="00DC2CBD" w14:paraId="3DC4AB2C"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3127053E"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3/26/2024</w:t>
            </w:r>
          </w:p>
        </w:tc>
        <w:tc>
          <w:tcPr>
            <w:tcW w:w="1290" w:type="dxa"/>
            <w:tcBorders>
              <w:bottom w:val="single" w:sz="4" w:space="0" w:color="auto"/>
              <w:right w:val="single" w:sz="4" w:space="0" w:color="auto"/>
            </w:tcBorders>
            <w:noWrap/>
            <w:vAlign w:val="bottom"/>
            <w:hideMark/>
          </w:tcPr>
          <w:p w14:paraId="4100F42A"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411</w:t>
            </w:r>
          </w:p>
        </w:tc>
        <w:tc>
          <w:tcPr>
            <w:tcW w:w="5540" w:type="dxa"/>
            <w:tcBorders>
              <w:bottom w:val="single" w:sz="4" w:space="0" w:color="auto"/>
              <w:right w:val="single" w:sz="4" w:space="0" w:color="auto"/>
            </w:tcBorders>
            <w:noWrap/>
            <w:vAlign w:val="bottom"/>
            <w:hideMark/>
          </w:tcPr>
          <w:p w14:paraId="5CA3C486"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English Survey Results</w:t>
            </w:r>
          </w:p>
        </w:tc>
        <w:tc>
          <w:tcPr>
            <w:tcW w:w="2320" w:type="dxa"/>
            <w:tcBorders>
              <w:bottom w:val="single" w:sz="4" w:space="0" w:color="auto"/>
              <w:right w:val="single" w:sz="4" w:space="0" w:color="auto"/>
            </w:tcBorders>
            <w:noWrap/>
            <w:vAlign w:val="bottom"/>
            <w:hideMark/>
          </w:tcPr>
          <w:p w14:paraId="11B73DA5"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proofErr w:type="spellStart"/>
            <w:r w:rsidRPr="00DC2CBD">
              <w:rPr>
                <w:rFonts w:ascii="Times New Roman" w:eastAsia="Times New Roman" w:hAnsi="Times New Roman" w:cs="Times New Roman"/>
                <w:color w:val="000000"/>
                <w:sz w:val="24"/>
                <w:szCs w:val="24"/>
              </w:rPr>
              <w:t>OpenForms</w:t>
            </w:r>
            <w:proofErr w:type="spellEnd"/>
            <w:r w:rsidRPr="00DC2CBD">
              <w:rPr>
                <w:rFonts w:ascii="Times New Roman" w:eastAsia="Times New Roman" w:hAnsi="Times New Roman" w:cs="Times New Roman"/>
                <w:color w:val="000000"/>
                <w:sz w:val="24"/>
                <w:szCs w:val="24"/>
              </w:rPr>
              <w:t xml:space="preserve"> Survey</w:t>
            </w:r>
          </w:p>
        </w:tc>
      </w:tr>
      <w:tr w:rsidR="00DC2CBD" w:rsidRPr="00DC2CBD" w14:paraId="29322F26"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3CE794B8"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3/26/2024</w:t>
            </w:r>
          </w:p>
        </w:tc>
        <w:tc>
          <w:tcPr>
            <w:tcW w:w="1290" w:type="dxa"/>
            <w:tcBorders>
              <w:bottom w:val="single" w:sz="4" w:space="0" w:color="auto"/>
              <w:right w:val="single" w:sz="4" w:space="0" w:color="auto"/>
            </w:tcBorders>
            <w:noWrap/>
            <w:vAlign w:val="bottom"/>
            <w:hideMark/>
          </w:tcPr>
          <w:p w14:paraId="1B41399A"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99</w:t>
            </w:r>
          </w:p>
        </w:tc>
        <w:tc>
          <w:tcPr>
            <w:tcW w:w="5540" w:type="dxa"/>
            <w:tcBorders>
              <w:bottom w:val="single" w:sz="4" w:space="0" w:color="auto"/>
              <w:right w:val="single" w:sz="4" w:space="0" w:color="auto"/>
            </w:tcBorders>
            <w:noWrap/>
            <w:vAlign w:val="bottom"/>
            <w:hideMark/>
          </w:tcPr>
          <w:p w14:paraId="304B8BDC"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Spanish survey results</w:t>
            </w:r>
          </w:p>
        </w:tc>
        <w:tc>
          <w:tcPr>
            <w:tcW w:w="2320" w:type="dxa"/>
            <w:tcBorders>
              <w:bottom w:val="single" w:sz="4" w:space="0" w:color="auto"/>
              <w:right w:val="single" w:sz="4" w:space="0" w:color="auto"/>
            </w:tcBorders>
            <w:noWrap/>
            <w:vAlign w:val="bottom"/>
            <w:hideMark/>
          </w:tcPr>
          <w:p w14:paraId="5D413243"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proofErr w:type="spellStart"/>
            <w:r w:rsidRPr="00DC2CBD">
              <w:rPr>
                <w:rFonts w:ascii="Times New Roman" w:eastAsia="Times New Roman" w:hAnsi="Times New Roman" w:cs="Times New Roman"/>
                <w:color w:val="000000"/>
                <w:sz w:val="24"/>
                <w:szCs w:val="24"/>
              </w:rPr>
              <w:t>OpenForms</w:t>
            </w:r>
            <w:proofErr w:type="spellEnd"/>
            <w:r w:rsidRPr="00DC2CBD">
              <w:rPr>
                <w:rFonts w:ascii="Times New Roman" w:eastAsia="Times New Roman" w:hAnsi="Times New Roman" w:cs="Times New Roman"/>
                <w:color w:val="000000"/>
                <w:sz w:val="24"/>
                <w:szCs w:val="24"/>
              </w:rPr>
              <w:t xml:space="preserve"> Survey</w:t>
            </w:r>
          </w:p>
        </w:tc>
      </w:tr>
      <w:tr w:rsidR="00DC2CBD" w:rsidRPr="00DC2CBD" w14:paraId="0423DC6E" w14:textId="77777777" w:rsidTr="00DC2CBD">
        <w:trPr>
          <w:trHeight w:val="342"/>
        </w:trPr>
        <w:tc>
          <w:tcPr>
            <w:tcW w:w="1040" w:type="dxa"/>
            <w:tcBorders>
              <w:left w:val="single" w:sz="4" w:space="0" w:color="auto"/>
              <w:bottom w:val="single" w:sz="4" w:space="0" w:color="auto"/>
              <w:right w:val="single" w:sz="4" w:space="0" w:color="auto"/>
            </w:tcBorders>
            <w:noWrap/>
            <w:vAlign w:val="bottom"/>
            <w:hideMark/>
          </w:tcPr>
          <w:p w14:paraId="0547937C" w14:textId="77777777" w:rsidR="00DC2CBD" w:rsidRPr="00DC2CBD" w:rsidRDefault="00DC2CBD" w:rsidP="00DC2CBD">
            <w:pPr>
              <w:spacing w:after="0" w:line="240" w:lineRule="auto"/>
              <w:jc w:val="right"/>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3/26/2024</w:t>
            </w:r>
          </w:p>
        </w:tc>
        <w:tc>
          <w:tcPr>
            <w:tcW w:w="1290" w:type="dxa"/>
            <w:tcBorders>
              <w:bottom w:val="single" w:sz="4" w:space="0" w:color="auto"/>
              <w:right w:val="single" w:sz="4" w:space="0" w:color="auto"/>
            </w:tcBorders>
            <w:noWrap/>
            <w:vAlign w:val="bottom"/>
            <w:hideMark/>
          </w:tcPr>
          <w:p w14:paraId="25F1A4E2"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               624</w:t>
            </w:r>
          </w:p>
        </w:tc>
        <w:tc>
          <w:tcPr>
            <w:tcW w:w="5540" w:type="dxa"/>
            <w:tcBorders>
              <w:bottom w:val="single" w:sz="4" w:space="0" w:color="auto"/>
              <w:right w:val="single" w:sz="4" w:space="0" w:color="auto"/>
            </w:tcBorders>
            <w:noWrap/>
            <w:vAlign w:val="bottom"/>
            <w:hideMark/>
          </w:tcPr>
          <w:p w14:paraId="424F4BB7" w14:textId="77777777"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sidRPr="00DC2CBD">
              <w:rPr>
                <w:rFonts w:ascii="Times New Roman" w:eastAsia="Times New Roman" w:hAnsi="Times New Roman" w:cs="Times New Roman"/>
                <w:color w:val="000000"/>
                <w:sz w:val="24"/>
                <w:szCs w:val="24"/>
              </w:rPr>
              <w:t>Survey - Paper/handwritten</w:t>
            </w:r>
          </w:p>
        </w:tc>
        <w:tc>
          <w:tcPr>
            <w:tcW w:w="2320" w:type="dxa"/>
            <w:tcBorders>
              <w:bottom w:val="single" w:sz="4" w:space="0" w:color="auto"/>
              <w:right w:val="single" w:sz="4" w:space="0" w:color="auto"/>
            </w:tcBorders>
            <w:noWrap/>
            <w:vAlign w:val="bottom"/>
            <w:hideMark/>
          </w:tcPr>
          <w:p w14:paraId="77188E9C" w14:textId="5BB68BEB" w:rsidR="00DC2CBD" w:rsidRPr="00DC2CBD" w:rsidRDefault="00DC2CBD" w:rsidP="00DC2CBD">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Submitted to</w:t>
            </w:r>
            <w:r w:rsidRPr="00DC2CBD">
              <w:rPr>
                <w:rFonts w:ascii="Times New Roman" w:eastAsia="Times New Roman" w:hAnsi="Times New Roman" w:cs="Times New Roman"/>
                <w:color w:val="000000"/>
                <w:sz w:val="24"/>
                <w:szCs w:val="24"/>
              </w:rPr>
              <w:t xml:space="preserve"> City Clerk</w:t>
            </w:r>
          </w:p>
        </w:tc>
      </w:tr>
    </w:tbl>
    <w:p w14:paraId="3ECFC54B" w14:textId="77777777" w:rsidR="00094030" w:rsidRDefault="00094030" w:rsidP="00E130E8">
      <w:pPr>
        <w:spacing w:after="0" w:line="240" w:lineRule="auto"/>
        <w:jc w:val="both"/>
        <w:rPr>
          <w:rFonts w:ascii="Times New Roman" w:hAnsi="Times New Roman" w:cs="Times New Roman"/>
          <w:i/>
          <w:iCs/>
          <w:sz w:val="24"/>
          <w:szCs w:val="24"/>
        </w:rPr>
      </w:pPr>
    </w:p>
    <w:p w14:paraId="13E7D93F" w14:textId="36283040" w:rsidR="0073442B" w:rsidRPr="00FB362F" w:rsidRDefault="0073442B" w:rsidP="00E130E8">
      <w:pPr>
        <w:spacing w:after="0" w:line="240" w:lineRule="auto"/>
        <w:jc w:val="both"/>
        <w:rPr>
          <w:rFonts w:ascii="Times New Roman" w:hAnsi="Times New Roman" w:cs="Times New Roman"/>
          <w:b/>
          <w:bCs/>
          <w:sz w:val="24"/>
          <w:szCs w:val="24"/>
        </w:rPr>
      </w:pPr>
      <w:r w:rsidRPr="00FB362F">
        <w:rPr>
          <w:rFonts w:ascii="Times New Roman" w:hAnsi="Times New Roman" w:cs="Times New Roman"/>
          <w:b/>
          <w:bCs/>
          <w:sz w:val="24"/>
          <w:szCs w:val="24"/>
        </w:rPr>
        <w:t>Housing and Land Use Committee.</w:t>
      </w:r>
    </w:p>
    <w:p w14:paraId="05DB7EF5" w14:textId="77777777" w:rsidR="0073442B" w:rsidRDefault="0073442B" w:rsidP="00E130E8">
      <w:pPr>
        <w:spacing w:after="0" w:line="240" w:lineRule="auto"/>
        <w:jc w:val="both"/>
        <w:rPr>
          <w:rFonts w:ascii="Times New Roman" w:hAnsi="Times New Roman" w:cs="Times New Roman"/>
          <w:i/>
          <w:iCs/>
          <w:sz w:val="24"/>
          <w:szCs w:val="24"/>
        </w:rPr>
      </w:pPr>
    </w:p>
    <w:p w14:paraId="383F3720" w14:textId="41EE80BF" w:rsidR="00D04512" w:rsidRDefault="0073442B"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 its August 13, 2024, meeting, the Housing and Land Use Committee directed the presentation of the rent stabilization and tenant protection program to the City Council on August 20, 2024, and that final draft ordinances be presented to the City Council on September 10, 2024, for introduction</w:t>
      </w:r>
      <w:r w:rsidR="00661571">
        <w:rPr>
          <w:rFonts w:ascii="Times New Roman" w:hAnsi="Times New Roman" w:cs="Times New Roman"/>
          <w:sz w:val="24"/>
          <w:szCs w:val="24"/>
        </w:rPr>
        <w:t>,</w:t>
      </w:r>
      <w:r>
        <w:rPr>
          <w:rFonts w:ascii="Times New Roman" w:hAnsi="Times New Roman" w:cs="Times New Roman"/>
          <w:sz w:val="24"/>
          <w:szCs w:val="24"/>
        </w:rPr>
        <w:t xml:space="preserve"> and on September 24, 2024, for adoption with operative dates of January 1, 2025. In </w:t>
      </w:r>
      <w:r>
        <w:rPr>
          <w:rFonts w:ascii="Times New Roman" w:hAnsi="Times New Roman" w:cs="Times New Roman"/>
          <w:sz w:val="24"/>
          <w:szCs w:val="24"/>
        </w:rPr>
        <w:lastRenderedPageBreak/>
        <w:t>addition, the Housing and Land Use Committee directed staff to incorporate a requirement in the Rent Stabilization Ordinance that all required notices be prepared in both English and Spanish and to consider including tenant relocation assistance for Ellis Act evictions under the Tenant Protection and Just Cause Eviction Ordinance.</w:t>
      </w:r>
      <w:r w:rsidR="00D04512">
        <w:rPr>
          <w:rFonts w:ascii="Times New Roman" w:hAnsi="Times New Roman" w:cs="Times New Roman"/>
          <w:sz w:val="24"/>
          <w:szCs w:val="24"/>
        </w:rPr>
        <w:t xml:space="preserve"> Should the City Council move forward with introduction of the Ordinances with those changes, the draft Ordinances will be updated to incorporate those changes.</w:t>
      </w:r>
    </w:p>
    <w:p w14:paraId="176403AB" w14:textId="77777777" w:rsidR="00176A9A" w:rsidRDefault="00176A9A" w:rsidP="00E130E8">
      <w:pPr>
        <w:spacing w:after="0" w:line="240" w:lineRule="auto"/>
        <w:jc w:val="both"/>
        <w:rPr>
          <w:rFonts w:ascii="Times New Roman" w:hAnsi="Times New Roman" w:cs="Times New Roman"/>
          <w:sz w:val="24"/>
          <w:szCs w:val="24"/>
        </w:rPr>
      </w:pPr>
    </w:p>
    <w:p w14:paraId="1980FCDC" w14:textId="746F8297" w:rsidR="00176A9A" w:rsidRPr="00FB362F" w:rsidRDefault="00176A9A" w:rsidP="00E130E8">
      <w:pPr>
        <w:spacing w:after="0" w:line="240" w:lineRule="auto"/>
        <w:jc w:val="both"/>
        <w:rPr>
          <w:rFonts w:ascii="Times New Roman" w:hAnsi="Times New Roman" w:cs="Times New Roman"/>
          <w:b/>
          <w:bCs/>
          <w:sz w:val="24"/>
          <w:szCs w:val="24"/>
        </w:rPr>
      </w:pPr>
      <w:r w:rsidRPr="00FB362F">
        <w:rPr>
          <w:rFonts w:ascii="Times New Roman" w:hAnsi="Times New Roman" w:cs="Times New Roman"/>
          <w:b/>
          <w:bCs/>
          <w:sz w:val="24"/>
          <w:szCs w:val="24"/>
        </w:rPr>
        <w:t>Public Comments and Questions.</w:t>
      </w:r>
    </w:p>
    <w:p w14:paraId="7AC17EF9" w14:textId="77777777" w:rsidR="00176A9A" w:rsidRDefault="00176A9A" w:rsidP="00E130E8">
      <w:pPr>
        <w:spacing w:after="0" w:line="240" w:lineRule="auto"/>
        <w:jc w:val="both"/>
        <w:rPr>
          <w:rFonts w:ascii="Times New Roman" w:hAnsi="Times New Roman" w:cs="Times New Roman"/>
          <w:i/>
          <w:iCs/>
          <w:sz w:val="24"/>
          <w:szCs w:val="24"/>
        </w:rPr>
      </w:pPr>
    </w:p>
    <w:p w14:paraId="30BDF479" w14:textId="207BF37D" w:rsidR="00176A9A" w:rsidRPr="00176A9A" w:rsidRDefault="00176A9A"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Written public comments received through this process are attached to this report for the City Council’s reference. In addition, questions and comments recorded during the </w:t>
      </w:r>
      <w:r w:rsidR="009661AD">
        <w:rPr>
          <w:rFonts w:ascii="Times New Roman" w:hAnsi="Times New Roman" w:cs="Times New Roman"/>
          <w:sz w:val="24"/>
          <w:szCs w:val="24"/>
        </w:rPr>
        <w:t xml:space="preserve">Housing and Land Use Committee meetings, TAC meetings, Listening Session, and Community Engagement Meetings </w:t>
      </w:r>
      <w:r w:rsidR="00991A98">
        <w:rPr>
          <w:rFonts w:ascii="Times New Roman" w:hAnsi="Times New Roman" w:cs="Times New Roman"/>
          <w:sz w:val="24"/>
          <w:szCs w:val="24"/>
        </w:rPr>
        <w:t>are attached to this report for the City Council’s reference</w:t>
      </w:r>
      <w:r w:rsidR="009661AD">
        <w:rPr>
          <w:rFonts w:ascii="Times New Roman" w:hAnsi="Times New Roman" w:cs="Times New Roman"/>
          <w:sz w:val="24"/>
          <w:szCs w:val="24"/>
        </w:rPr>
        <w:t>.</w:t>
      </w:r>
    </w:p>
    <w:p w14:paraId="6E1B3DB2" w14:textId="77777777" w:rsidR="0073442B" w:rsidRDefault="0073442B" w:rsidP="00E130E8">
      <w:pPr>
        <w:spacing w:after="0" w:line="240" w:lineRule="auto"/>
        <w:jc w:val="both"/>
        <w:rPr>
          <w:rFonts w:ascii="Times New Roman" w:hAnsi="Times New Roman" w:cs="Times New Roman"/>
          <w:sz w:val="24"/>
          <w:szCs w:val="24"/>
          <w:u w:val="single"/>
        </w:rPr>
      </w:pPr>
    </w:p>
    <w:p w14:paraId="52A8D299" w14:textId="4085F52B"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5EA4E1B4" w14:textId="77777777" w:rsidR="00DD0FAB" w:rsidRPr="00DC2CBD" w:rsidRDefault="00DD0FAB" w:rsidP="00E130E8">
      <w:pPr>
        <w:spacing w:after="0" w:line="240" w:lineRule="auto"/>
        <w:jc w:val="both"/>
        <w:rPr>
          <w:rFonts w:ascii="Times New Roman" w:eastAsia="Times New Roman" w:hAnsi="Times New Roman" w:cs="Times New Roman"/>
          <w:b/>
          <w:bCs/>
          <w:i/>
          <w:color w:val="000000"/>
          <w:sz w:val="24"/>
          <w:szCs w:val="24"/>
        </w:rPr>
      </w:pPr>
    </w:p>
    <w:p w14:paraId="7673A369" w14:textId="100B475C" w:rsidR="00DD0FAB" w:rsidRPr="00DC2CBD" w:rsidRDefault="00DD0FAB" w:rsidP="00E130E8">
      <w:pPr>
        <w:spacing w:after="0" w:line="240" w:lineRule="auto"/>
        <w:jc w:val="both"/>
        <w:rPr>
          <w:rFonts w:ascii="Times New Roman" w:eastAsia="Times New Roman" w:hAnsi="Times New Roman" w:cs="Times New Roman"/>
          <w:iCs/>
          <w:color w:val="000000"/>
          <w:sz w:val="24"/>
          <w:szCs w:val="24"/>
        </w:rPr>
      </w:pPr>
      <w:r w:rsidRPr="00DC2CBD">
        <w:rPr>
          <w:rFonts w:ascii="Times New Roman" w:eastAsia="Times New Roman" w:hAnsi="Times New Roman" w:cs="Times New Roman"/>
          <w:b/>
          <w:bCs/>
          <w:iCs/>
          <w:color w:val="000000"/>
          <w:sz w:val="24"/>
          <w:szCs w:val="24"/>
        </w:rPr>
        <w:t>Not a Project</w:t>
      </w:r>
      <w:r w:rsidRPr="00DC2CBD">
        <w:rPr>
          <w:rFonts w:ascii="Times New Roman" w:eastAsia="Times New Roman" w:hAnsi="Times New Roman" w:cs="Times New Roman"/>
          <w:iCs/>
          <w:color w:val="000000"/>
          <w:sz w:val="24"/>
          <w:szCs w:val="24"/>
        </w:rPr>
        <w:t xml:space="preserve">. </w:t>
      </w:r>
      <w:r w:rsidR="00DC2CBD" w:rsidRPr="00DC2CBD">
        <w:rPr>
          <w:rFonts w:ascii="Times New Roman" w:hAnsi="Times New Roman" w:cs="Times New Roman"/>
          <w:sz w:val="24"/>
          <w:szCs w:val="24"/>
        </w:rPr>
        <w:t>The City Council’s adoption of th</w:t>
      </w:r>
      <w:r w:rsidR="00DC2CBD">
        <w:rPr>
          <w:rFonts w:ascii="Times New Roman" w:hAnsi="Times New Roman" w:cs="Times New Roman"/>
          <w:sz w:val="24"/>
          <w:szCs w:val="24"/>
        </w:rPr>
        <w:t>e</w:t>
      </w:r>
      <w:r w:rsidR="00DC2CBD" w:rsidRPr="00DC2CBD">
        <w:rPr>
          <w:rFonts w:ascii="Times New Roman" w:hAnsi="Times New Roman" w:cs="Times New Roman"/>
          <w:sz w:val="24"/>
          <w:szCs w:val="24"/>
        </w:rPr>
        <w:t xml:space="preserve"> ordinance</w:t>
      </w:r>
      <w:r w:rsidR="00B2259B">
        <w:rPr>
          <w:rFonts w:ascii="Times New Roman" w:hAnsi="Times New Roman" w:cs="Times New Roman"/>
          <w:sz w:val="24"/>
          <w:szCs w:val="24"/>
        </w:rPr>
        <w:t>s</w:t>
      </w:r>
      <w:r w:rsidR="00DC2CBD" w:rsidRPr="00DC2CBD">
        <w:rPr>
          <w:rFonts w:ascii="Times New Roman" w:hAnsi="Times New Roman" w:cs="Times New Roman"/>
          <w:sz w:val="24"/>
          <w:szCs w:val="24"/>
        </w:rPr>
        <w:t xml:space="preserve"> is not a project </w:t>
      </w:r>
      <w:r w:rsidR="00DC2CBD" w:rsidRPr="00DC2CBD">
        <w:rPr>
          <w:rFonts w:ascii="Times New Roman" w:hAnsi="Times New Roman" w:cs="Times New Roman"/>
          <w:spacing w:val="-2"/>
          <w:sz w:val="24"/>
          <w:szCs w:val="24"/>
        </w:rPr>
        <w:t>subject</w:t>
      </w:r>
      <w:r w:rsidR="00DC2CBD" w:rsidRPr="00DC2CBD">
        <w:rPr>
          <w:rFonts w:ascii="Times New Roman" w:hAnsi="Times New Roman" w:cs="Times New Roman"/>
          <w:spacing w:val="-12"/>
          <w:sz w:val="24"/>
          <w:szCs w:val="24"/>
        </w:rPr>
        <w:t xml:space="preserve"> </w:t>
      </w:r>
      <w:r w:rsidR="00DC2CBD" w:rsidRPr="00DC2CBD">
        <w:rPr>
          <w:rFonts w:ascii="Times New Roman" w:hAnsi="Times New Roman" w:cs="Times New Roman"/>
          <w:spacing w:val="-2"/>
          <w:sz w:val="24"/>
          <w:szCs w:val="24"/>
        </w:rPr>
        <w:t>to</w:t>
      </w:r>
      <w:r w:rsidR="00DC2CBD" w:rsidRPr="00DC2CBD">
        <w:rPr>
          <w:rFonts w:ascii="Times New Roman" w:hAnsi="Times New Roman" w:cs="Times New Roman"/>
          <w:spacing w:val="-12"/>
          <w:sz w:val="24"/>
          <w:szCs w:val="24"/>
        </w:rPr>
        <w:t xml:space="preserve"> </w:t>
      </w:r>
      <w:r w:rsidR="00DC2CBD" w:rsidRPr="00DC2CBD">
        <w:rPr>
          <w:rFonts w:ascii="Times New Roman" w:hAnsi="Times New Roman" w:cs="Times New Roman"/>
          <w:spacing w:val="-2"/>
          <w:sz w:val="24"/>
          <w:szCs w:val="24"/>
        </w:rPr>
        <w:t>environmental</w:t>
      </w:r>
      <w:r w:rsidR="00DC2CBD" w:rsidRPr="00DC2CBD">
        <w:rPr>
          <w:rFonts w:ascii="Times New Roman" w:hAnsi="Times New Roman" w:cs="Times New Roman"/>
          <w:spacing w:val="-6"/>
          <w:sz w:val="24"/>
          <w:szCs w:val="24"/>
        </w:rPr>
        <w:t xml:space="preserve"> </w:t>
      </w:r>
      <w:r w:rsidR="00DC2CBD" w:rsidRPr="00DC2CBD">
        <w:rPr>
          <w:rFonts w:ascii="Times New Roman" w:hAnsi="Times New Roman" w:cs="Times New Roman"/>
          <w:spacing w:val="-2"/>
          <w:sz w:val="24"/>
          <w:szCs w:val="24"/>
        </w:rPr>
        <w:t>review</w:t>
      </w:r>
      <w:r w:rsidR="00DC2CBD" w:rsidRPr="00DC2CBD">
        <w:rPr>
          <w:rFonts w:ascii="Times New Roman" w:hAnsi="Times New Roman" w:cs="Times New Roman"/>
          <w:spacing w:val="-10"/>
          <w:sz w:val="24"/>
          <w:szCs w:val="24"/>
        </w:rPr>
        <w:t xml:space="preserve"> </w:t>
      </w:r>
      <w:r w:rsidR="00DC2CBD" w:rsidRPr="00DC2CBD">
        <w:rPr>
          <w:rFonts w:ascii="Times New Roman" w:hAnsi="Times New Roman" w:cs="Times New Roman"/>
          <w:spacing w:val="-2"/>
          <w:sz w:val="24"/>
          <w:szCs w:val="24"/>
        </w:rPr>
        <w:t>under</w:t>
      </w:r>
      <w:r w:rsidR="00DC2CBD" w:rsidRPr="00DC2CBD">
        <w:rPr>
          <w:rFonts w:ascii="Times New Roman" w:hAnsi="Times New Roman" w:cs="Times New Roman"/>
          <w:spacing w:val="-11"/>
          <w:sz w:val="24"/>
          <w:szCs w:val="24"/>
        </w:rPr>
        <w:t xml:space="preserve"> </w:t>
      </w:r>
      <w:r w:rsidR="00DC2CBD" w:rsidRPr="00DC2CBD">
        <w:rPr>
          <w:rFonts w:ascii="Times New Roman" w:hAnsi="Times New Roman" w:cs="Times New Roman"/>
          <w:spacing w:val="-2"/>
          <w:sz w:val="24"/>
          <w:szCs w:val="24"/>
        </w:rPr>
        <w:t>the</w:t>
      </w:r>
      <w:r w:rsidR="00DC2CBD" w:rsidRPr="00DC2CBD">
        <w:rPr>
          <w:rFonts w:ascii="Times New Roman" w:hAnsi="Times New Roman" w:cs="Times New Roman"/>
          <w:spacing w:val="-12"/>
          <w:sz w:val="24"/>
          <w:szCs w:val="24"/>
        </w:rPr>
        <w:t xml:space="preserve"> </w:t>
      </w:r>
      <w:r w:rsidR="00DC2CBD" w:rsidRPr="00DC2CBD">
        <w:rPr>
          <w:rFonts w:ascii="Times New Roman" w:hAnsi="Times New Roman" w:cs="Times New Roman"/>
          <w:spacing w:val="-2"/>
          <w:sz w:val="24"/>
          <w:szCs w:val="24"/>
        </w:rPr>
        <w:t>California</w:t>
      </w:r>
      <w:r w:rsidR="00DC2CBD" w:rsidRPr="00DC2CBD">
        <w:rPr>
          <w:rFonts w:ascii="Times New Roman" w:hAnsi="Times New Roman" w:cs="Times New Roman"/>
          <w:spacing w:val="-11"/>
          <w:sz w:val="24"/>
          <w:szCs w:val="24"/>
        </w:rPr>
        <w:t xml:space="preserve"> </w:t>
      </w:r>
      <w:r w:rsidR="00DC2CBD" w:rsidRPr="00DC2CBD">
        <w:rPr>
          <w:rFonts w:ascii="Times New Roman" w:hAnsi="Times New Roman" w:cs="Times New Roman"/>
          <w:spacing w:val="-2"/>
          <w:sz w:val="24"/>
          <w:szCs w:val="24"/>
        </w:rPr>
        <w:t>Environmental</w:t>
      </w:r>
      <w:r w:rsidR="00DC2CBD" w:rsidRPr="00DC2CBD">
        <w:rPr>
          <w:rFonts w:ascii="Times New Roman" w:hAnsi="Times New Roman" w:cs="Times New Roman"/>
          <w:spacing w:val="-12"/>
          <w:sz w:val="24"/>
          <w:szCs w:val="24"/>
        </w:rPr>
        <w:t xml:space="preserve"> </w:t>
      </w:r>
      <w:r w:rsidR="00DC2CBD" w:rsidRPr="00DC2CBD">
        <w:rPr>
          <w:rFonts w:ascii="Times New Roman" w:hAnsi="Times New Roman" w:cs="Times New Roman"/>
          <w:spacing w:val="-2"/>
          <w:sz w:val="24"/>
          <w:szCs w:val="24"/>
        </w:rPr>
        <w:t>Quality</w:t>
      </w:r>
      <w:r w:rsidR="00DC2CBD" w:rsidRPr="00DC2CBD">
        <w:rPr>
          <w:rFonts w:ascii="Times New Roman" w:hAnsi="Times New Roman" w:cs="Times New Roman"/>
          <w:spacing w:val="-8"/>
          <w:sz w:val="24"/>
          <w:szCs w:val="24"/>
        </w:rPr>
        <w:t xml:space="preserve"> </w:t>
      </w:r>
      <w:r w:rsidR="00DC2CBD" w:rsidRPr="00DC2CBD">
        <w:rPr>
          <w:rFonts w:ascii="Times New Roman" w:hAnsi="Times New Roman" w:cs="Times New Roman"/>
          <w:spacing w:val="-2"/>
          <w:sz w:val="24"/>
          <w:szCs w:val="24"/>
        </w:rPr>
        <w:t>Act</w:t>
      </w:r>
      <w:r w:rsidR="00DC2CBD" w:rsidRPr="00DC2CBD">
        <w:rPr>
          <w:rFonts w:ascii="Times New Roman" w:hAnsi="Times New Roman" w:cs="Times New Roman"/>
          <w:spacing w:val="-12"/>
          <w:sz w:val="24"/>
          <w:szCs w:val="24"/>
        </w:rPr>
        <w:t xml:space="preserve"> </w:t>
      </w:r>
      <w:r w:rsidR="00DC2CBD" w:rsidRPr="00DC2CBD">
        <w:rPr>
          <w:rFonts w:ascii="Times New Roman" w:hAnsi="Times New Roman" w:cs="Times New Roman"/>
          <w:spacing w:val="-2"/>
          <w:sz w:val="24"/>
          <w:szCs w:val="24"/>
        </w:rPr>
        <w:t>(CEQA</w:t>
      </w:r>
      <w:r w:rsidR="00DC2CBD" w:rsidRPr="00DC2CBD">
        <w:rPr>
          <w:rFonts w:ascii="Times New Roman" w:hAnsi="Times New Roman" w:cs="Times New Roman"/>
          <w:spacing w:val="-11"/>
          <w:sz w:val="24"/>
          <w:szCs w:val="24"/>
        </w:rPr>
        <w:t xml:space="preserve"> </w:t>
      </w:r>
      <w:r w:rsidR="00DC2CBD" w:rsidRPr="00DC2CBD">
        <w:rPr>
          <w:rFonts w:ascii="Times New Roman" w:hAnsi="Times New Roman" w:cs="Times New Roman"/>
          <w:spacing w:val="-2"/>
          <w:sz w:val="24"/>
          <w:szCs w:val="24"/>
        </w:rPr>
        <w:t xml:space="preserve">Guidelines </w:t>
      </w:r>
      <w:r w:rsidR="00DC2CBD" w:rsidRPr="00DC2CBD">
        <w:rPr>
          <w:rFonts w:ascii="Times New Roman" w:hAnsi="Times New Roman" w:cs="Times New Roman"/>
          <w:sz w:val="24"/>
          <w:szCs w:val="24"/>
        </w:rPr>
        <w:t>section</w:t>
      </w:r>
      <w:r w:rsidR="00DC2CBD" w:rsidRPr="00DC2CBD">
        <w:rPr>
          <w:rFonts w:ascii="Times New Roman" w:hAnsi="Times New Roman" w:cs="Times New Roman"/>
          <w:spacing w:val="-9"/>
          <w:sz w:val="24"/>
          <w:szCs w:val="24"/>
        </w:rPr>
        <w:t xml:space="preserve"> </w:t>
      </w:r>
      <w:r w:rsidR="00DC2CBD" w:rsidRPr="00DC2CBD">
        <w:rPr>
          <w:rFonts w:ascii="Times New Roman" w:hAnsi="Times New Roman" w:cs="Times New Roman"/>
          <w:sz w:val="24"/>
          <w:szCs w:val="24"/>
        </w:rPr>
        <w:t xml:space="preserve">15061(b)(3).) </w:t>
      </w:r>
      <w:r w:rsidR="00DC2CBD" w:rsidRPr="00DC2CBD">
        <w:rPr>
          <w:rFonts w:ascii="Times New Roman" w:hAnsi="Times New Roman" w:cs="Times New Roman"/>
          <w:sz w:val="24"/>
          <w:szCs w:val="24"/>
          <w:shd w:val="clear" w:color="auto" w:fill="FFFFFF"/>
        </w:rPr>
        <w:t>Additionally, the City Council’s adoption of th</w:t>
      </w:r>
      <w:r w:rsidR="00B2259B">
        <w:rPr>
          <w:rFonts w:ascii="Times New Roman" w:hAnsi="Times New Roman" w:cs="Times New Roman"/>
          <w:sz w:val="24"/>
          <w:szCs w:val="24"/>
          <w:shd w:val="clear" w:color="auto" w:fill="FFFFFF"/>
        </w:rPr>
        <w:t>e</w:t>
      </w:r>
      <w:r w:rsidR="00DC2CBD" w:rsidRPr="00DC2CBD">
        <w:rPr>
          <w:rFonts w:ascii="Times New Roman" w:hAnsi="Times New Roman" w:cs="Times New Roman"/>
          <w:sz w:val="24"/>
          <w:szCs w:val="24"/>
          <w:shd w:val="clear" w:color="auto" w:fill="FFFFFF"/>
        </w:rPr>
        <w:t xml:space="preserve"> ordinance</w:t>
      </w:r>
      <w:r w:rsidR="00B2259B">
        <w:rPr>
          <w:rFonts w:ascii="Times New Roman" w:hAnsi="Times New Roman" w:cs="Times New Roman"/>
          <w:sz w:val="24"/>
          <w:szCs w:val="24"/>
          <w:shd w:val="clear" w:color="auto" w:fill="FFFFFF"/>
        </w:rPr>
        <w:t>s</w:t>
      </w:r>
      <w:r w:rsidR="00DC2CBD" w:rsidRPr="00DC2CBD">
        <w:rPr>
          <w:rFonts w:ascii="Times New Roman" w:hAnsi="Times New Roman" w:cs="Times New Roman"/>
          <w:sz w:val="24"/>
          <w:szCs w:val="24"/>
          <w:shd w:val="clear" w:color="auto" w:fill="FFFFFF"/>
        </w:rPr>
        <w:t xml:space="preserve"> is exempt because it does not meet the definition of a “project” under CEQA, pursuant to CEQA Guidelines sections 15060(c)(1) and 15378(a), because it has no potential to result in a direct or reasonably foreseeable physical change in the environment.</w:t>
      </w:r>
    </w:p>
    <w:p w14:paraId="7FC44330"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2752759C"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2176AE2D"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0D44DD32" w14:textId="2F1C0BFA" w:rsidR="00D50A40" w:rsidRPr="00C1406A" w:rsidRDefault="004B3735"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City Council’s consideration of whether to establish and to implement rent stabilization and tenant protection strategies is consistent with the City Council’s goal of promoting Housing/Affordable Housing (City of Salinas Strategic Plan 2022-2025).</w:t>
      </w:r>
    </w:p>
    <w:p w14:paraId="0CCE1317" w14:textId="77777777" w:rsidR="00C1406A" w:rsidRPr="00D50A40" w:rsidRDefault="00C1406A" w:rsidP="00E130E8">
      <w:pPr>
        <w:spacing w:after="0" w:line="240" w:lineRule="auto"/>
        <w:jc w:val="both"/>
        <w:rPr>
          <w:rFonts w:ascii="Times New Roman" w:hAnsi="Times New Roman" w:cs="Times New Roman"/>
          <w:i/>
          <w:sz w:val="24"/>
          <w:szCs w:val="24"/>
        </w:rPr>
      </w:pPr>
    </w:p>
    <w:p w14:paraId="25E67911"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23672C8C" w14:textId="77777777" w:rsidR="00D109BB" w:rsidRDefault="00D109BB" w:rsidP="00E130E8">
      <w:pPr>
        <w:spacing w:after="0" w:line="240" w:lineRule="auto"/>
        <w:jc w:val="both"/>
        <w:rPr>
          <w:rFonts w:ascii="Times New Roman" w:hAnsi="Times New Roman" w:cs="Times New Roman"/>
          <w:sz w:val="24"/>
          <w:szCs w:val="24"/>
          <w:u w:val="single"/>
        </w:rPr>
      </w:pPr>
    </w:p>
    <w:p w14:paraId="79978D67" w14:textId="66245897" w:rsidR="00D13869" w:rsidRPr="00D13869" w:rsidRDefault="00E6277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City Administration, the City Attorney’s Office, and Community Development Department will continue to coordinate on the implementation of the rent stabilization program following the City Council’s action.</w:t>
      </w:r>
    </w:p>
    <w:p w14:paraId="3A7FB3B7" w14:textId="77777777" w:rsidR="00D13869" w:rsidRDefault="00D13869" w:rsidP="00E130E8">
      <w:pPr>
        <w:spacing w:after="0" w:line="240" w:lineRule="auto"/>
        <w:jc w:val="both"/>
        <w:rPr>
          <w:rFonts w:ascii="Times New Roman" w:hAnsi="Times New Roman" w:cs="Times New Roman"/>
          <w:sz w:val="24"/>
          <w:szCs w:val="24"/>
          <w:u w:val="single"/>
        </w:rPr>
      </w:pPr>
    </w:p>
    <w:p w14:paraId="4824BFD7"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44E071CC"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C1FE6A9" w14:textId="1604C177" w:rsidR="007120EF" w:rsidRDefault="00524449" w:rsidP="00E130E8">
      <w:pPr>
        <w:spacing w:after="0" w:line="240" w:lineRule="auto"/>
        <w:jc w:val="both"/>
        <w:rPr>
          <w:rFonts w:ascii="Times New Roman" w:hAnsi="Times New Roman" w:cs="Times New Roman"/>
          <w:sz w:val="24"/>
          <w:szCs w:val="24"/>
        </w:rPr>
      </w:pPr>
      <w:bookmarkStart w:id="0" w:name="_Hlk174697317"/>
      <w:r>
        <w:rPr>
          <w:rFonts w:ascii="Times New Roman" w:hAnsi="Times New Roman" w:cs="Times New Roman"/>
          <w:sz w:val="24"/>
          <w:szCs w:val="24"/>
        </w:rPr>
        <w:t>Should the City Council adopt the rent stabilization and tenant protection program</w:t>
      </w:r>
      <w:r w:rsidR="008415CB">
        <w:rPr>
          <w:rFonts w:ascii="Times New Roman" w:hAnsi="Times New Roman" w:cs="Times New Roman"/>
          <w:sz w:val="24"/>
          <w:szCs w:val="24"/>
        </w:rPr>
        <w:t xml:space="preserve">, the City will need to augment its existing staffing and support </w:t>
      </w:r>
      <w:proofErr w:type="gramStart"/>
      <w:r w:rsidR="008415CB">
        <w:rPr>
          <w:rFonts w:ascii="Times New Roman" w:hAnsi="Times New Roman" w:cs="Times New Roman"/>
          <w:sz w:val="24"/>
          <w:szCs w:val="24"/>
        </w:rPr>
        <w:t>in order to</w:t>
      </w:r>
      <w:proofErr w:type="gramEnd"/>
      <w:r w:rsidR="008415CB">
        <w:rPr>
          <w:rFonts w:ascii="Times New Roman" w:hAnsi="Times New Roman" w:cs="Times New Roman"/>
          <w:sz w:val="24"/>
          <w:szCs w:val="24"/>
        </w:rPr>
        <w:t xml:space="preserve"> effectively implement and manage the program. </w:t>
      </w:r>
      <w:r w:rsidR="00420DC2">
        <w:rPr>
          <w:rFonts w:ascii="Times New Roman" w:hAnsi="Times New Roman" w:cs="Times New Roman"/>
          <w:sz w:val="24"/>
          <w:szCs w:val="24"/>
        </w:rPr>
        <w:t xml:space="preserve">Staff has identified two potential ways </w:t>
      </w:r>
      <w:r w:rsidR="00FB35F6">
        <w:rPr>
          <w:rFonts w:ascii="Times New Roman" w:hAnsi="Times New Roman" w:cs="Times New Roman"/>
          <w:sz w:val="24"/>
          <w:szCs w:val="24"/>
        </w:rPr>
        <w:t>t</w:t>
      </w:r>
      <w:r w:rsidR="008415CB">
        <w:rPr>
          <w:rFonts w:ascii="Times New Roman" w:hAnsi="Times New Roman" w:cs="Times New Roman"/>
          <w:sz w:val="24"/>
          <w:szCs w:val="24"/>
        </w:rPr>
        <w:t xml:space="preserve">o </w:t>
      </w:r>
      <w:r w:rsidR="00FB35F6">
        <w:rPr>
          <w:rFonts w:ascii="Times New Roman" w:hAnsi="Times New Roman" w:cs="Times New Roman"/>
          <w:sz w:val="24"/>
          <w:szCs w:val="24"/>
        </w:rPr>
        <w:t>accomplish this</w:t>
      </w:r>
      <w:r w:rsidR="00420DC2">
        <w:rPr>
          <w:rFonts w:ascii="Times New Roman" w:hAnsi="Times New Roman" w:cs="Times New Roman"/>
          <w:sz w:val="24"/>
          <w:szCs w:val="24"/>
        </w:rPr>
        <w:t xml:space="preserve">. The first is to add </w:t>
      </w:r>
      <w:r w:rsidR="008415CB">
        <w:rPr>
          <w:rFonts w:ascii="Times New Roman" w:hAnsi="Times New Roman" w:cs="Times New Roman"/>
          <w:sz w:val="24"/>
          <w:szCs w:val="24"/>
        </w:rPr>
        <w:t xml:space="preserve">between 3 and 6 staff members </w:t>
      </w:r>
      <w:r w:rsidR="00420DC2">
        <w:rPr>
          <w:rFonts w:ascii="Times New Roman" w:hAnsi="Times New Roman" w:cs="Times New Roman"/>
          <w:sz w:val="24"/>
          <w:szCs w:val="24"/>
        </w:rPr>
        <w:t xml:space="preserve">which is estimated </w:t>
      </w:r>
      <w:r w:rsidR="0073295A">
        <w:rPr>
          <w:rFonts w:ascii="Times New Roman" w:hAnsi="Times New Roman" w:cs="Times New Roman"/>
          <w:sz w:val="24"/>
          <w:szCs w:val="24"/>
        </w:rPr>
        <w:t xml:space="preserve">between </w:t>
      </w:r>
      <w:r w:rsidR="008415CB">
        <w:rPr>
          <w:rFonts w:ascii="Times New Roman" w:hAnsi="Times New Roman" w:cs="Times New Roman"/>
          <w:sz w:val="24"/>
          <w:szCs w:val="24"/>
        </w:rPr>
        <w:t xml:space="preserve">$621,404 and $1,246,976. </w:t>
      </w:r>
      <w:r w:rsidR="00420DC2">
        <w:rPr>
          <w:rFonts w:ascii="Times New Roman" w:hAnsi="Times New Roman" w:cs="Times New Roman"/>
          <w:sz w:val="24"/>
          <w:szCs w:val="24"/>
        </w:rPr>
        <w:t xml:space="preserve">The second option </w:t>
      </w:r>
      <w:r w:rsidR="00FB35F6">
        <w:rPr>
          <w:rFonts w:ascii="Times New Roman" w:hAnsi="Times New Roman" w:cs="Times New Roman"/>
          <w:sz w:val="24"/>
          <w:szCs w:val="24"/>
        </w:rPr>
        <w:t xml:space="preserve">is to </w:t>
      </w:r>
      <w:r w:rsidR="00420DC2">
        <w:rPr>
          <w:rFonts w:ascii="Times New Roman" w:hAnsi="Times New Roman" w:cs="Times New Roman"/>
          <w:sz w:val="24"/>
          <w:szCs w:val="24"/>
        </w:rPr>
        <w:t xml:space="preserve">explore working with a consultant to provide the services. </w:t>
      </w:r>
      <w:r w:rsidR="00FB35F6">
        <w:rPr>
          <w:rFonts w:ascii="Times New Roman" w:hAnsi="Times New Roman" w:cs="Times New Roman"/>
          <w:sz w:val="24"/>
          <w:szCs w:val="24"/>
        </w:rPr>
        <w:t xml:space="preserve">The City would have to perform additional research to determine the cost. </w:t>
      </w:r>
      <w:r w:rsidR="00FB35F6">
        <w:rPr>
          <w:rFonts w:ascii="Times New Roman" w:hAnsi="Times New Roman" w:cs="Times New Roman"/>
          <w:sz w:val="24"/>
          <w:szCs w:val="24"/>
        </w:rPr>
        <w:t xml:space="preserve">The ordinances contemplate the City will recover its costs through the adoption of a fee paid by the property owners renting units. </w:t>
      </w:r>
      <w:r w:rsidR="008415CB">
        <w:rPr>
          <w:rFonts w:ascii="Times New Roman" w:hAnsi="Times New Roman" w:cs="Times New Roman"/>
          <w:sz w:val="24"/>
          <w:szCs w:val="24"/>
        </w:rPr>
        <w:t xml:space="preserve">Should the City Council adopt the rent stabilization and tenant protection program, a resolution will be brought </w:t>
      </w:r>
      <w:r w:rsidR="008415CB">
        <w:rPr>
          <w:rFonts w:ascii="Times New Roman" w:hAnsi="Times New Roman" w:cs="Times New Roman"/>
          <w:sz w:val="24"/>
          <w:szCs w:val="24"/>
        </w:rPr>
        <w:lastRenderedPageBreak/>
        <w:t xml:space="preserve">forward </w:t>
      </w:r>
      <w:proofErr w:type="gramStart"/>
      <w:r w:rsidR="008415CB">
        <w:rPr>
          <w:rFonts w:ascii="Times New Roman" w:hAnsi="Times New Roman" w:cs="Times New Roman"/>
          <w:sz w:val="24"/>
          <w:szCs w:val="24"/>
        </w:rPr>
        <w:t>at a later date</w:t>
      </w:r>
      <w:proofErr w:type="gramEnd"/>
      <w:r w:rsidR="008415CB">
        <w:rPr>
          <w:rFonts w:ascii="Times New Roman" w:hAnsi="Times New Roman" w:cs="Times New Roman"/>
          <w:sz w:val="24"/>
          <w:szCs w:val="24"/>
        </w:rPr>
        <w:t xml:space="preserve"> to establish the program fee.</w:t>
      </w:r>
      <w:r w:rsidR="00A564FF">
        <w:rPr>
          <w:rFonts w:ascii="Times New Roman" w:hAnsi="Times New Roman" w:cs="Times New Roman"/>
          <w:sz w:val="24"/>
          <w:szCs w:val="24"/>
        </w:rPr>
        <w:t xml:space="preserve">  </w:t>
      </w:r>
      <w:r w:rsidR="00023D7B">
        <w:rPr>
          <w:rFonts w:ascii="Times New Roman" w:hAnsi="Times New Roman" w:cs="Times New Roman"/>
          <w:sz w:val="24"/>
          <w:szCs w:val="24"/>
        </w:rPr>
        <w:t>At which time the budget would be established for this program and brought forward to the Council for adoption.</w:t>
      </w:r>
    </w:p>
    <w:p w14:paraId="359B9E24" w14:textId="77777777" w:rsidR="007120EF" w:rsidRDefault="007120EF" w:rsidP="00E130E8">
      <w:pPr>
        <w:spacing w:after="0" w:line="240" w:lineRule="auto"/>
        <w:jc w:val="both"/>
        <w:rPr>
          <w:rFonts w:ascii="Times New Roman" w:hAnsi="Times New Roman" w:cs="Times New Roman"/>
          <w:sz w:val="24"/>
          <w:szCs w:val="24"/>
        </w:rPr>
      </w:pPr>
    </w:p>
    <w:p w14:paraId="7CB1954F" w14:textId="2F0F7BEC" w:rsidR="00D13869" w:rsidRDefault="00A564FF"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If this moves forward and a program fee is established, there will be a </w:t>
      </w:r>
      <w:r w:rsidR="00023D7B">
        <w:rPr>
          <w:rFonts w:ascii="Times New Roman" w:hAnsi="Times New Roman" w:cs="Times New Roman"/>
          <w:sz w:val="24"/>
          <w:szCs w:val="24"/>
        </w:rPr>
        <w:t>delay</w:t>
      </w:r>
      <w:r>
        <w:rPr>
          <w:rFonts w:ascii="Times New Roman" w:hAnsi="Times New Roman" w:cs="Times New Roman"/>
          <w:sz w:val="24"/>
          <w:szCs w:val="24"/>
        </w:rPr>
        <w:t xml:space="preserve"> in the revenue received by the City, which is not uncommon when setting a new program; </w:t>
      </w:r>
      <w:r w:rsidR="007120EF">
        <w:rPr>
          <w:rFonts w:ascii="Times New Roman" w:hAnsi="Times New Roman" w:cs="Times New Roman"/>
          <w:sz w:val="24"/>
          <w:szCs w:val="24"/>
        </w:rPr>
        <w:t>but it will impact the City’s cash position in the short term and perhaps long term based on the fee ultimately established</w:t>
      </w:r>
      <w:r w:rsidR="00023D7B">
        <w:rPr>
          <w:rFonts w:ascii="Times New Roman" w:hAnsi="Times New Roman" w:cs="Times New Roman"/>
          <w:sz w:val="24"/>
          <w:szCs w:val="24"/>
        </w:rPr>
        <w:t xml:space="preserve"> and the collection rate</w:t>
      </w:r>
      <w:r w:rsidR="007120EF">
        <w:rPr>
          <w:rFonts w:ascii="Times New Roman" w:hAnsi="Times New Roman" w:cs="Times New Roman"/>
          <w:sz w:val="24"/>
          <w:szCs w:val="24"/>
        </w:rPr>
        <w:t xml:space="preserve">.  </w:t>
      </w:r>
      <w:r w:rsidR="00023D7B">
        <w:rPr>
          <w:rFonts w:ascii="Times New Roman" w:hAnsi="Times New Roman" w:cs="Times New Roman"/>
          <w:sz w:val="24"/>
          <w:szCs w:val="24"/>
        </w:rPr>
        <w:t>Short-term the City would need to rely on its cash flow or general reserves</w:t>
      </w:r>
      <w:r w:rsidR="00023D7B">
        <w:rPr>
          <w:rStyle w:val="FootnoteReference"/>
          <w:rFonts w:ascii="Times New Roman" w:hAnsi="Times New Roman" w:cs="Times New Roman"/>
          <w:sz w:val="24"/>
          <w:szCs w:val="24"/>
        </w:rPr>
        <w:footnoteReference w:id="2"/>
      </w:r>
    </w:p>
    <w:bookmarkEnd w:id="0"/>
    <w:p w14:paraId="444C9A86" w14:textId="35D8D748" w:rsidR="00A564FF" w:rsidRPr="00524449" w:rsidRDefault="00A564FF" w:rsidP="00E130E8">
      <w:pPr>
        <w:spacing w:after="0" w:line="240" w:lineRule="auto"/>
        <w:jc w:val="both"/>
        <w:rPr>
          <w:rFonts w:ascii="Times New Roman" w:hAnsi="Times New Roman" w:cs="Times New Roman"/>
          <w:sz w:val="24"/>
          <w:szCs w:val="24"/>
        </w:rPr>
      </w:pPr>
    </w:p>
    <w:p w14:paraId="757FD748" w14:textId="77777777" w:rsidR="00E62770" w:rsidRPr="00893FED" w:rsidRDefault="00E62770" w:rsidP="00E130E8">
      <w:pPr>
        <w:spacing w:after="0" w:line="240" w:lineRule="auto"/>
        <w:jc w:val="both"/>
        <w:rPr>
          <w:rFonts w:ascii="Times New Roman" w:hAnsi="Times New Roman" w:cs="Times New Roman"/>
          <w:sz w:val="24"/>
          <w:szCs w:val="24"/>
          <w:u w:val="single"/>
        </w:rPr>
      </w:pPr>
    </w:p>
    <w:p w14:paraId="3ADD6BE3"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6EBA636A" w14:textId="77777777" w:rsidR="00B556DD" w:rsidRDefault="00B556DD" w:rsidP="00E130E8">
      <w:pPr>
        <w:spacing w:after="0" w:line="240" w:lineRule="auto"/>
        <w:jc w:val="both"/>
        <w:rPr>
          <w:rFonts w:ascii="Times New Roman" w:hAnsi="Times New Roman" w:cs="Times New Roman"/>
          <w:sz w:val="24"/>
          <w:szCs w:val="24"/>
        </w:rPr>
      </w:pPr>
    </w:p>
    <w:p w14:paraId="21EC82FB" w14:textId="75085AAB" w:rsidR="00B556DD" w:rsidRDefault="00E6277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Draft Rent Stabilization Ordinance</w:t>
      </w:r>
    </w:p>
    <w:p w14:paraId="764556DD" w14:textId="09D4C5EF" w:rsidR="00E62770" w:rsidRDefault="00E6277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Draft Tenant Protection and Just Cause Eviction Ordinance</w:t>
      </w:r>
    </w:p>
    <w:p w14:paraId="1E39C6C3" w14:textId="15F81213" w:rsidR="00E62770" w:rsidRDefault="00E6277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Draft Tenant Anti-Harassment Ordinance</w:t>
      </w:r>
    </w:p>
    <w:p w14:paraId="506A067E" w14:textId="24BF7F51" w:rsidR="00FB362F" w:rsidRDefault="00FB362F"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Economic &amp; Planning Systems, Inc. Report</w:t>
      </w:r>
    </w:p>
    <w:p w14:paraId="22559F37" w14:textId="5E21BD3A" w:rsidR="00FB362F" w:rsidRDefault="00FB362F"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Economic &amp; Planning Systems, Inc., PowerPoint Presentation</w:t>
      </w:r>
    </w:p>
    <w:p w14:paraId="798AD78B" w14:textId="3E03E1C0" w:rsidR="00FB362F" w:rsidRPr="00B556DD" w:rsidRDefault="00FB362F"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Public Comments</w:t>
      </w:r>
      <w:r w:rsidR="006929D6">
        <w:rPr>
          <w:rFonts w:ascii="Times New Roman" w:hAnsi="Times New Roman" w:cs="Times New Roman"/>
          <w:sz w:val="24"/>
          <w:szCs w:val="24"/>
        </w:rPr>
        <w:t xml:space="preserve"> and Questions</w:t>
      </w:r>
    </w:p>
    <w:sectPr w:rsidR="00FB362F" w:rsidRPr="00B556DD"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EAF6F" w14:textId="77777777" w:rsidR="00537E9F" w:rsidRDefault="00537E9F" w:rsidP="00944716">
      <w:pPr>
        <w:spacing w:after="0" w:line="240" w:lineRule="auto"/>
      </w:pPr>
      <w:r>
        <w:separator/>
      </w:r>
    </w:p>
  </w:endnote>
  <w:endnote w:type="continuationSeparator" w:id="0">
    <w:p w14:paraId="42A6827B" w14:textId="77777777" w:rsidR="00537E9F" w:rsidRDefault="00537E9F"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685EEB9"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C3088C7"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0E0EA" w14:textId="77777777" w:rsidR="00537E9F" w:rsidRDefault="00537E9F" w:rsidP="00944716">
      <w:pPr>
        <w:spacing w:after="0" w:line="240" w:lineRule="auto"/>
      </w:pPr>
      <w:r>
        <w:separator/>
      </w:r>
    </w:p>
  </w:footnote>
  <w:footnote w:type="continuationSeparator" w:id="0">
    <w:p w14:paraId="09244837" w14:textId="77777777" w:rsidR="00537E9F" w:rsidRDefault="00537E9F" w:rsidP="00944716">
      <w:pPr>
        <w:spacing w:after="0" w:line="240" w:lineRule="auto"/>
      </w:pPr>
      <w:r>
        <w:continuationSeparator/>
      </w:r>
    </w:p>
  </w:footnote>
  <w:footnote w:id="1">
    <w:p w14:paraId="19F8C8BE" w14:textId="3422BC5A" w:rsidR="00292571" w:rsidRPr="00292571" w:rsidRDefault="00292571">
      <w:pPr>
        <w:pStyle w:val="FootnoteText"/>
        <w:rPr>
          <w:rFonts w:ascii="Times New Roman" w:hAnsi="Times New Roman" w:cs="Times New Roman"/>
        </w:rPr>
      </w:pPr>
      <w:r w:rsidRPr="00292571">
        <w:rPr>
          <w:rStyle w:val="FootnoteReference"/>
          <w:rFonts w:ascii="Times New Roman" w:hAnsi="Times New Roman" w:cs="Times New Roman"/>
        </w:rPr>
        <w:footnoteRef/>
      </w:r>
      <w:r w:rsidRPr="00292571">
        <w:rPr>
          <w:rFonts w:ascii="Times New Roman" w:hAnsi="Times New Roman" w:cs="Times New Roman"/>
        </w:rPr>
        <w:t xml:space="preserve"> https://ballotpedia.org/California_Proposition_33,_Prohibit_State_Limitations_on_Local_Rent_Control_Initiative_(2024)</w:t>
      </w:r>
    </w:p>
  </w:footnote>
  <w:footnote w:id="2">
    <w:p w14:paraId="5621C414" w14:textId="0011E5FA" w:rsidR="00023D7B" w:rsidRDefault="00023D7B">
      <w:pPr>
        <w:pStyle w:val="FootnoteText"/>
      </w:pPr>
      <w:r>
        <w:rPr>
          <w:rStyle w:val="FootnoteReference"/>
        </w:rPr>
        <w:footnoteRef/>
      </w:r>
      <w:r>
        <w:t xml:space="preserve"> The City maintains a General Reserve of 12% of the Operating Budget, which currently is at $20.7 million.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2A1AE"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AB7C5E2" wp14:editId="272F687D">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96583D"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60C840C6" wp14:editId="7D69E310">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32B05F9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35062B3"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C840C6"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32B05F9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35062B3"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6238D5AC" wp14:editId="396A00E0">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C46D7"/>
    <w:multiLevelType w:val="hybridMultilevel"/>
    <w:tmpl w:val="C52CA12A"/>
    <w:lvl w:ilvl="0" w:tplc="04090005">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 w15:restartNumberingAfterBreak="0">
    <w:nsid w:val="1B4858D8"/>
    <w:multiLevelType w:val="hybridMultilevel"/>
    <w:tmpl w:val="25A474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0E0D56"/>
    <w:multiLevelType w:val="hybridMultilevel"/>
    <w:tmpl w:val="BA3291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23D4E"/>
    <w:multiLevelType w:val="hybridMultilevel"/>
    <w:tmpl w:val="11DC6A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7F42BB"/>
    <w:multiLevelType w:val="hybridMultilevel"/>
    <w:tmpl w:val="78304A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614530"/>
    <w:multiLevelType w:val="hybridMultilevel"/>
    <w:tmpl w:val="FE5834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B84E0A"/>
    <w:multiLevelType w:val="hybridMultilevel"/>
    <w:tmpl w:val="2EB093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536EDB"/>
    <w:multiLevelType w:val="hybridMultilevel"/>
    <w:tmpl w:val="61603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702BD7"/>
    <w:multiLevelType w:val="hybridMultilevel"/>
    <w:tmpl w:val="465A4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9942170">
    <w:abstractNumId w:val="7"/>
  </w:num>
  <w:num w:numId="2" w16cid:durableId="28188350">
    <w:abstractNumId w:val="1"/>
  </w:num>
  <w:num w:numId="3" w16cid:durableId="1882133163">
    <w:abstractNumId w:val="6"/>
  </w:num>
  <w:num w:numId="4" w16cid:durableId="130221733">
    <w:abstractNumId w:val="0"/>
  </w:num>
  <w:num w:numId="5" w16cid:durableId="436365294">
    <w:abstractNumId w:val="5"/>
  </w:num>
  <w:num w:numId="6" w16cid:durableId="2137601139">
    <w:abstractNumId w:val="8"/>
  </w:num>
  <w:num w:numId="7" w16cid:durableId="1540048588">
    <w:abstractNumId w:val="3"/>
  </w:num>
  <w:num w:numId="8" w16cid:durableId="1106268967">
    <w:abstractNumId w:val="4"/>
  </w:num>
  <w:num w:numId="9" w16cid:durableId="1291941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255"/>
    <w:rsid w:val="00000849"/>
    <w:rsid w:val="00002A11"/>
    <w:rsid w:val="00010CB7"/>
    <w:rsid w:val="000207FA"/>
    <w:rsid w:val="00023D7B"/>
    <w:rsid w:val="00053E86"/>
    <w:rsid w:val="00054EAC"/>
    <w:rsid w:val="0007617F"/>
    <w:rsid w:val="00080912"/>
    <w:rsid w:val="00090BB5"/>
    <w:rsid w:val="000922CA"/>
    <w:rsid w:val="00094030"/>
    <w:rsid w:val="000E72D9"/>
    <w:rsid w:val="000F107D"/>
    <w:rsid w:val="00115CBD"/>
    <w:rsid w:val="0013721C"/>
    <w:rsid w:val="00145255"/>
    <w:rsid w:val="00155DC7"/>
    <w:rsid w:val="0016075D"/>
    <w:rsid w:val="00176A9A"/>
    <w:rsid w:val="001B65AC"/>
    <w:rsid w:val="002052A4"/>
    <w:rsid w:val="00210BFB"/>
    <w:rsid w:val="00211ED7"/>
    <w:rsid w:val="00223B0B"/>
    <w:rsid w:val="00247489"/>
    <w:rsid w:val="00272BBB"/>
    <w:rsid w:val="002771C9"/>
    <w:rsid w:val="002916A0"/>
    <w:rsid w:val="00292571"/>
    <w:rsid w:val="002C54B9"/>
    <w:rsid w:val="002D645B"/>
    <w:rsid w:val="002D7571"/>
    <w:rsid w:val="002E191D"/>
    <w:rsid w:val="00335753"/>
    <w:rsid w:val="003414D3"/>
    <w:rsid w:val="0035675A"/>
    <w:rsid w:val="0036133F"/>
    <w:rsid w:val="003F3A62"/>
    <w:rsid w:val="003F78C4"/>
    <w:rsid w:val="004019F5"/>
    <w:rsid w:val="00403F08"/>
    <w:rsid w:val="00415E76"/>
    <w:rsid w:val="00416976"/>
    <w:rsid w:val="00420DC2"/>
    <w:rsid w:val="00423C69"/>
    <w:rsid w:val="00430E29"/>
    <w:rsid w:val="0044154D"/>
    <w:rsid w:val="0044227D"/>
    <w:rsid w:val="00444F07"/>
    <w:rsid w:val="00446FED"/>
    <w:rsid w:val="00460F6A"/>
    <w:rsid w:val="00474E0B"/>
    <w:rsid w:val="0049139F"/>
    <w:rsid w:val="004B3735"/>
    <w:rsid w:val="004C0090"/>
    <w:rsid w:val="004C1957"/>
    <w:rsid w:val="004C3537"/>
    <w:rsid w:val="004F7416"/>
    <w:rsid w:val="005137E5"/>
    <w:rsid w:val="00522128"/>
    <w:rsid w:val="00524449"/>
    <w:rsid w:val="00536394"/>
    <w:rsid w:val="00537E9F"/>
    <w:rsid w:val="0055763D"/>
    <w:rsid w:val="00566D6B"/>
    <w:rsid w:val="0057039C"/>
    <w:rsid w:val="005B44AF"/>
    <w:rsid w:val="005D6423"/>
    <w:rsid w:val="005F1A2A"/>
    <w:rsid w:val="005F2C1E"/>
    <w:rsid w:val="005F78A3"/>
    <w:rsid w:val="0060758C"/>
    <w:rsid w:val="0061564A"/>
    <w:rsid w:val="006233A7"/>
    <w:rsid w:val="00624F98"/>
    <w:rsid w:val="00631FEE"/>
    <w:rsid w:val="00651E62"/>
    <w:rsid w:val="006552AB"/>
    <w:rsid w:val="00655F12"/>
    <w:rsid w:val="00661571"/>
    <w:rsid w:val="006666EC"/>
    <w:rsid w:val="006929D6"/>
    <w:rsid w:val="0069329C"/>
    <w:rsid w:val="006A20A9"/>
    <w:rsid w:val="006C2C61"/>
    <w:rsid w:val="006C4E01"/>
    <w:rsid w:val="006E68F5"/>
    <w:rsid w:val="006E76F5"/>
    <w:rsid w:val="00703ABB"/>
    <w:rsid w:val="007078A3"/>
    <w:rsid w:val="007120EF"/>
    <w:rsid w:val="00721661"/>
    <w:rsid w:val="007234D0"/>
    <w:rsid w:val="0073092F"/>
    <w:rsid w:val="0073295A"/>
    <w:rsid w:val="0073442B"/>
    <w:rsid w:val="0074253F"/>
    <w:rsid w:val="007467A8"/>
    <w:rsid w:val="00766BEA"/>
    <w:rsid w:val="007A5A53"/>
    <w:rsid w:val="007C15BB"/>
    <w:rsid w:val="007C2A2F"/>
    <w:rsid w:val="007C7390"/>
    <w:rsid w:val="007D44B9"/>
    <w:rsid w:val="00804B03"/>
    <w:rsid w:val="00810AB4"/>
    <w:rsid w:val="008175F0"/>
    <w:rsid w:val="00826A3E"/>
    <w:rsid w:val="008415CB"/>
    <w:rsid w:val="0084304C"/>
    <w:rsid w:val="0085115C"/>
    <w:rsid w:val="00864FD9"/>
    <w:rsid w:val="00870D51"/>
    <w:rsid w:val="00893FED"/>
    <w:rsid w:val="00895A52"/>
    <w:rsid w:val="00896792"/>
    <w:rsid w:val="008C59EF"/>
    <w:rsid w:val="008E04BC"/>
    <w:rsid w:val="00914DDC"/>
    <w:rsid w:val="00944716"/>
    <w:rsid w:val="00946FFD"/>
    <w:rsid w:val="00961A75"/>
    <w:rsid w:val="009661AD"/>
    <w:rsid w:val="00991A98"/>
    <w:rsid w:val="009C00D2"/>
    <w:rsid w:val="009C65FC"/>
    <w:rsid w:val="009C6B20"/>
    <w:rsid w:val="009D1649"/>
    <w:rsid w:val="009D4275"/>
    <w:rsid w:val="00A06F18"/>
    <w:rsid w:val="00A50181"/>
    <w:rsid w:val="00A564FF"/>
    <w:rsid w:val="00A60317"/>
    <w:rsid w:val="00A60CFB"/>
    <w:rsid w:val="00A65960"/>
    <w:rsid w:val="00A70FFA"/>
    <w:rsid w:val="00A927B6"/>
    <w:rsid w:val="00AA4211"/>
    <w:rsid w:val="00AA54A7"/>
    <w:rsid w:val="00AB20C6"/>
    <w:rsid w:val="00AB5A0F"/>
    <w:rsid w:val="00AC3815"/>
    <w:rsid w:val="00AD4473"/>
    <w:rsid w:val="00B20BD2"/>
    <w:rsid w:val="00B2259B"/>
    <w:rsid w:val="00B357D7"/>
    <w:rsid w:val="00B516C9"/>
    <w:rsid w:val="00B556DD"/>
    <w:rsid w:val="00B62ECE"/>
    <w:rsid w:val="00BA2A1A"/>
    <w:rsid w:val="00BA2CD9"/>
    <w:rsid w:val="00BA59EE"/>
    <w:rsid w:val="00BD35E9"/>
    <w:rsid w:val="00C01E07"/>
    <w:rsid w:val="00C03622"/>
    <w:rsid w:val="00C1406A"/>
    <w:rsid w:val="00C31754"/>
    <w:rsid w:val="00C4327A"/>
    <w:rsid w:val="00C520B7"/>
    <w:rsid w:val="00C56B32"/>
    <w:rsid w:val="00C62F00"/>
    <w:rsid w:val="00C97602"/>
    <w:rsid w:val="00CE5765"/>
    <w:rsid w:val="00D04512"/>
    <w:rsid w:val="00D109BB"/>
    <w:rsid w:val="00D11B17"/>
    <w:rsid w:val="00D13869"/>
    <w:rsid w:val="00D33766"/>
    <w:rsid w:val="00D50A40"/>
    <w:rsid w:val="00D803A1"/>
    <w:rsid w:val="00D83C83"/>
    <w:rsid w:val="00D8673D"/>
    <w:rsid w:val="00D9289D"/>
    <w:rsid w:val="00D93C07"/>
    <w:rsid w:val="00DB4AD4"/>
    <w:rsid w:val="00DC0AE4"/>
    <w:rsid w:val="00DC2CBD"/>
    <w:rsid w:val="00DD0FAB"/>
    <w:rsid w:val="00DD4EAB"/>
    <w:rsid w:val="00DE05E0"/>
    <w:rsid w:val="00DF1331"/>
    <w:rsid w:val="00E04B10"/>
    <w:rsid w:val="00E0762A"/>
    <w:rsid w:val="00E130E8"/>
    <w:rsid w:val="00E141DE"/>
    <w:rsid w:val="00E22EC1"/>
    <w:rsid w:val="00E50B89"/>
    <w:rsid w:val="00E62770"/>
    <w:rsid w:val="00E70E34"/>
    <w:rsid w:val="00E72FD9"/>
    <w:rsid w:val="00ED11DD"/>
    <w:rsid w:val="00EE4491"/>
    <w:rsid w:val="00F0114E"/>
    <w:rsid w:val="00F33F0E"/>
    <w:rsid w:val="00F35A81"/>
    <w:rsid w:val="00F36487"/>
    <w:rsid w:val="00F6747A"/>
    <w:rsid w:val="00F92C6D"/>
    <w:rsid w:val="00FA5312"/>
    <w:rsid w:val="00FA6715"/>
    <w:rsid w:val="00FA7D7C"/>
    <w:rsid w:val="00FB35F6"/>
    <w:rsid w:val="00FB362F"/>
    <w:rsid w:val="00FB5EF1"/>
    <w:rsid w:val="00FB62DD"/>
    <w:rsid w:val="00FD0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3186C"/>
  <w15:docId w15:val="{19D06BF1-2E00-7942-A50C-731BBDAB1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FootnoteText">
    <w:name w:val="footnote text"/>
    <w:basedOn w:val="Normal"/>
    <w:link w:val="FootnoteTextChar"/>
    <w:uiPriority w:val="99"/>
    <w:semiHidden/>
    <w:unhideWhenUsed/>
    <w:rsid w:val="00B20B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0BD2"/>
    <w:rPr>
      <w:sz w:val="20"/>
      <w:szCs w:val="20"/>
    </w:rPr>
  </w:style>
  <w:style w:type="character" w:styleId="FootnoteReference">
    <w:name w:val="footnote reference"/>
    <w:basedOn w:val="DefaultParagraphFont"/>
    <w:uiPriority w:val="99"/>
    <w:semiHidden/>
    <w:unhideWhenUsed/>
    <w:rsid w:val="00B20BD2"/>
    <w:rPr>
      <w:vertAlign w:val="superscript"/>
    </w:rPr>
  </w:style>
  <w:style w:type="paragraph" w:styleId="ListParagraph">
    <w:name w:val="List Paragraph"/>
    <w:basedOn w:val="Normal"/>
    <w:uiPriority w:val="34"/>
    <w:qFormat/>
    <w:rsid w:val="00415E76"/>
    <w:pPr>
      <w:ind w:left="720"/>
      <w:contextualSpacing/>
    </w:pPr>
  </w:style>
  <w:style w:type="table" w:styleId="TableGrid">
    <w:name w:val="Table Grid"/>
    <w:basedOn w:val="TableNormal"/>
    <w:uiPriority w:val="59"/>
    <w:rsid w:val="00C97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34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642582">
      <w:bodyDiv w:val="1"/>
      <w:marLeft w:val="0"/>
      <w:marRight w:val="0"/>
      <w:marTop w:val="0"/>
      <w:marBottom w:val="0"/>
      <w:divBdr>
        <w:top w:val="none" w:sz="0" w:space="0" w:color="auto"/>
        <w:left w:val="none" w:sz="0" w:space="0" w:color="auto"/>
        <w:bottom w:val="none" w:sz="0" w:space="0" w:color="auto"/>
        <w:right w:val="none" w:sz="0" w:space="0" w:color="auto"/>
      </w:divBdr>
      <w:divsChild>
        <w:div w:id="1402867934">
          <w:marLeft w:val="0"/>
          <w:marRight w:val="0"/>
          <w:marTop w:val="0"/>
          <w:marBottom w:val="0"/>
          <w:divBdr>
            <w:top w:val="none" w:sz="0" w:space="0" w:color="auto"/>
            <w:left w:val="none" w:sz="0" w:space="0" w:color="auto"/>
            <w:bottom w:val="none" w:sz="0" w:space="0" w:color="auto"/>
            <w:right w:val="none" w:sz="0" w:space="0" w:color="auto"/>
          </w:divBdr>
        </w:div>
        <w:div w:id="269094171">
          <w:marLeft w:val="0"/>
          <w:marRight w:val="0"/>
          <w:marTop w:val="0"/>
          <w:marBottom w:val="0"/>
          <w:divBdr>
            <w:top w:val="none" w:sz="0" w:space="0" w:color="auto"/>
            <w:left w:val="none" w:sz="0" w:space="0" w:color="auto"/>
            <w:bottom w:val="none" w:sz="0" w:space="0" w:color="auto"/>
            <w:right w:val="none" w:sz="0" w:space="0" w:color="auto"/>
          </w:divBdr>
        </w:div>
        <w:div w:id="1370914615">
          <w:marLeft w:val="0"/>
          <w:marRight w:val="0"/>
          <w:marTop w:val="0"/>
          <w:marBottom w:val="0"/>
          <w:divBdr>
            <w:top w:val="none" w:sz="0" w:space="0" w:color="auto"/>
            <w:left w:val="none" w:sz="0" w:space="0" w:color="auto"/>
            <w:bottom w:val="none" w:sz="0" w:space="0" w:color="auto"/>
            <w:right w:val="none" w:sz="0" w:space="0" w:color="auto"/>
          </w:divBdr>
        </w:div>
        <w:div w:id="2136362019">
          <w:marLeft w:val="0"/>
          <w:marRight w:val="0"/>
          <w:marTop w:val="0"/>
          <w:marBottom w:val="0"/>
          <w:divBdr>
            <w:top w:val="none" w:sz="0" w:space="0" w:color="auto"/>
            <w:left w:val="none" w:sz="0" w:space="0" w:color="auto"/>
            <w:bottom w:val="none" w:sz="0" w:space="0" w:color="auto"/>
            <w:right w:val="none" w:sz="0" w:space="0" w:color="auto"/>
          </w:divBdr>
        </w:div>
        <w:div w:id="65300196">
          <w:marLeft w:val="0"/>
          <w:marRight w:val="0"/>
          <w:marTop w:val="0"/>
          <w:marBottom w:val="0"/>
          <w:divBdr>
            <w:top w:val="none" w:sz="0" w:space="0" w:color="auto"/>
            <w:left w:val="none" w:sz="0" w:space="0" w:color="auto"/>
            <w:bottom w:val="none" w:sz="0" w:space="0" w:color="auto"/>
            <w:right w:val="none" w:sz="0" w:space="0" w:color="auto"/>
          </w:divBdr>
        </w:div>
        <w:div w:id="1705401052">
          <w:marLeft w:val="0"/>
          <w:marRight w:val="0"/>
          <w:marTop w:val="0"/>
          <w:marBottom w:val="0"/>
          <w:divBdr>
            <w:top w:val="none" w:sz="0" w:space="0" w:color="auto"/>
            <w:left w:val="none" w:sz="0" w:space="0" w:color="auto"/>
            <w:bottom w:val="none" w:sz="0" w:space="0" w:color="auto"/>
            <w:right w:val="none" w:sz="0" w:space="0" w:color="auto"/>
          </w:divBdr>
        </w:div>
        <w:div w:id="1297372725">
          <w:marLeft w:val="0"/>
          <w:marRight w:val="0"/>
          <w:marTop w:val="0"/>
          <w:marBottom w:val="0"/>
          <w:divBdr>
            <w:top w:val="none" w:sz="0" w:space="0" w:color="auto"/>
            <w:left w:val="none" w:sz="0" w:space="0" w:color="auto"/>
            <w:bottom w:val="none" w:sz="0" w:space="0" w:color="auto"/>
            <w:right w:val="none" w:sz="0" w:space="0" w:color="auto"/>
          </w:divBdr>
        </w:div>
        <w:div w:id="1082796564">
          <w:marLeft w:val="0"/>
          <w:marRight w:val="0"/>
          <w:marTop w:val="0"/>
          <w:marBottom w:val="0"/>
          <w:divBdr>
            <w:top w:val="none" w:sz="0" w:space="0" w:color="auto"/>
            <w:left w:val="none" w:sz="0" w:space="0" w:color="auto"/>
            <w:bottom w:val="none" w:sz="0" w:space="0" w:color="auto"/>
            <w:right w:val="none" w:sz="0" w:space="0" w:color="auto"/>
          </w:divBdr>
        </w:div>
        <w:div w:id="1465856021">
          <w:marLeft w:val="0"/>
          <w:marRight w:val="0"/>
          <w:marTop w:val="0"/>
          <w:marBottom w:val="0"/>
          <w:divBdr>
            <w:top w:val="none" w:sz="0" w:space="0" w:color="auto"/>
            <w:left w:val="none" w:sz="0" w:space="0" w:color="auto"/>
            <w:bottom w:val="none" w:sz="0" w:space="0" w:color="auto"/>
            <w:right w:val="none" w:sz="0" w:space="0" w:color="auto"/>
          </w:divBdr>
        </w:div>
        <w:div w:id="466051548">
          <w:marLeft w:val="0"/>
          <w:marRight w:val="0"/>
          <w:marTop w:val="0"/>
          <w:marBottom w:val="0"/>
          <w:divBdr>
            <w:top w:val="none" w:sz="0" w:space="0" w:color="auto"/>
            <w:left w:val="none" w:sz="0" w:space="0" w:color="auto"/>
            <w:bottom w:val="none" w:sz="0" w:space="0" w:color="auto"/>
            <w:right w:val="none" w:sz="0" w:space="0" w:color="auto"/>
          </w:divBdr>
        </w:div>
        <w:div w:id="1326203769">
          <w:marLeft w:val="0"/>
          <w:marRight w:val="0"/>
          <w:marTop w:val="0"/>
          <w:marBottom w:val="0"/>
          <w:divBdr>
            <w:top w:val="none" w:sz="0" w:space="0" w:color="auto"/>
            <w:left w:val="none" w:sz="0" w:space="0" w:color="auto"/>
            <w:bottom w:val="none" w:sz="0" w:space="0" w:color="auto"/>
            <w:right w:val="none" w:sz="0" w:space="0" w:color="auto"/>
          </w:divBdr>
        </w:div>
        <w:div w:id="223880597">
          <w:marLeft w:val="0"/>
          <w:marRight w:val="0"/>
          <w:marTop w:val="0"/>
          <w:marBottom w:val="0"/>
          <w:divBdr>
            <w:top w:val="none" w:sz="0" w:space="0" w:color="auto"/>
            <w:left w:val="none" w:sz="0" w:space="0" w:color="auto"/>
            <w:bottom w:val="none" w:sz="0" w:space="0" w:color="auto"/>
            <w:right w:val="none" w:sz="0" w:space="0" w:color="auto"/>
          </w:divBdr>
        </w:div>
        <w:div w:id="1228033776">
          <w:marLeft w:val="0"/>
          <w:marRight w:val="0"/>
          <w:marTop w:val="0"/>
          <w:marBottom w:val="0"/>
          <w:divBdr>
            <w:top w:val="none" w:sz="0" w:space="0" w:color="auto"/>
            <w:left w:val="none" w:sz="0" w:space="0" w:color="auto"/>
            <w:bottom w:val="none" w:sz="0" w:space="0" w:color="auto"/>
            <w:right w:val="none" w:sz="0" w:space="0" w:color="auto"/>
          </w:divBdr>
        </w:div>
        <w:div w:id="1541087298">
          <w:marLeft w:val="0"/>
          <w:marRight w:val="0"/>
          <w:marTop w:val="0"/>
          <w:marBottom w:val="0"/>
          <w:divBdr>
            <w:top w:val="none" w:sz="0" w:space="0" w:color="auto"/>
            <w:left w:val="none" w:sz="0" w:space="0" w:color="auto"/>
            <w:bottom w:val="none" w:sz="0" w:space="0" w:color="auto"/>
            <w:right w:val="none" w:sz="0" w:space="0" w:color="auto"/>
          </w:divBdr>
        </w:div>
        <w:div w:id="275453133">
          <w:marLeft w:val="0"/>
          <w:marRight w:val="0"/>
          <w:marTop w:val="0"/>
          <w:marBottom w:val="0"/>
          <w:divBdr>
            <w:top w:val="none" w:sz="0" w:space="0" w:color="auto"/>
            <w:left w:val="none" w:sz="0" w:space="0" w:color="auto"/>
            <w:bottom w:val="none" w:sz="0" w:space="0" w:color="auto"/>
            <w:right w:val="none" w:sz="0" w:space="0" w:color="auto"/>
          </w:divBdr>
        </w:div>
        <w:div w:id="2127698049">
          <w:marLeft w:val="0"/>
          <w:marRight w:val="0"/>
          <w:marTop w:val="0"/>
          <w:marBottom w:val="0"/>
          <w:divBdr>
            <w:top w:val="none" w:sz="0" w:space="0" w:color="auto"/>
            <w:left w:val="none" w:sz="0" w:space="0" w:color="auto"/>
            <w:bottom w:val="none" w:sz="0" w:space="0" w:color="auto"/>
            <w:right w:val="none" w:sz="0" w:space="0" w:color="auto"/>
          </w:divBdr>
        </w:div>
        <w:div w:id="486484279">
          <w:marLeft w:val="0"/>
          <w:marRight w:val="0"/>
          <w:marTop w:val="0"/>
          <w:marBottom w:val="0"/>
          <w:divBdr>
            <w:top w:val="none" w:sz="0" w:space="0" w:color="auto"/>
            <w:left w:val="none" w:sz="0" w:space="0" w:color="auto"/>
            <w:bottom w:val="none" w:sz="0" w:space="0" w:color="auto"/>
            <w:right w:val="none" w:sz="0" w:space="0" w:color="auto"/>
          </w:divBdr>
        </w:div>
        <w:div w:id="1241065355">
          <w:marLeft w:val="0"/>
          <w:marRight w:val="0"/>
          <w:marTop w:val="0"/>
          <w:marBottom w:val="0"/>
          <w:divBdr>
            <w:top w:val="none" w:sz="0" w:space="0" w:color="auto"/>
            <w:left w:val="none" w:sz="0" w:space="0" w:color="auto"/>
            <w:bottom w:val="none" w:sz="0" w:space="0" w:color="auto"/>
            <w:right w:val="none" w:sz="0" w:space="0" w:color="auto"/>
          </w:divBdr>
        </w:div>
        <w:div w:id="457650338">
          <w:marLeft w:val="0"/>
          <w:marRight w:val="0"/>
          <w:marTop w:val="0"/>
          <w:marBottom w:val="0"/>
          <w:divBdr>
            <w:top w:val="none" w:sz="0" w:space="0" w:color="auto"/>
            <w:left w:val="none" w:sz="0" w:space="0" w:color="auto"/>
            <w:bottom w:val="none" w:sz="0" w:space="0" w:color="auto"/>
            <w:right w:val="none" w:sz="0" w:space="0" w:color="auto"/>
          </w:divBdr>
        </w:div>
        <w:div w:id="1558468955">
          <w:marLeft w:val="0"/>
          <w:marRight w:val="0"/>
          <w:marTop w:val="0"/>
          <w:marBottom w:val="0"/>
          <w:divBdr>
            <w:top w:val="none" w:sz="0" w:space="0" w:color="auto"/>
            <w:left w:val="none" w:sz="0" w:space="0" w:color="auto"/>
            <w:bottom w:val="none" w:sz="0" w:space="0" w:color="auto"/>
            <w:right w:val="none" w:sz="0" w:space="0" w:color="auto"/>
          </w:divBdr>
        </w:div>
        <w:div w:id="553540803">
          <w:marLeft w:val="0"/>
          <w:marRight w:val="0"/>
          <w:marTop w:val="0"/>
          <w:marBottom w:val="0"/>
          <w:divBdr>
            <w:top w:val="none" w:sz="0" w:space="0" w:color="auto"/>
            <w:left w:val="none" w:sz="0" w:space="0" w:color="auto"/>
            <w:bottom w:val="none" w:sz="0" w:space="0" w:color="auto"/>
            <w:right w:val="none" w:sz="0" w:space="0" w:color="auto"/>
          </w:divBdr>
        </w:div>
        <w:div w:id="1162619047">
          <w:marLeft w:val="0"/>
          <w:marRight w:val="0"/>
          <w:marTop w:val="0"/>
          <w:marBottom w:val="0"/>
          <w:divBdr>
            <w:top w:val="none" w:sz="0" w:space="0" w:color="auto"/>
            <w:left w:val="none" w:sz="0" w:space="0" w:color="auto"/>
            <w:bottom w:val="none" w:sz="0" w:space="0" w:color="auto"/>
            <w:right w:val="none" w:sz="0" w:space="0" w:color="auto"/>
          </w:divBdr>
        </w:div>
        <w:div w:id="674766808">
          <w:marLeft w:val="0"/>
          <w:marRight w:val="0"/>
          <w:marTop w:val="0"/>
          <w:marBottom w:val="0"/>
          <w:divBdr>
            <w:top w:val="none" w:sz="0" w:space="0" w:color="auto"/>
            <w:left w:val="none" w:sz="0" w:space="0" w:color="auto"/>
            <w:bottom w:val="none" w:sz="0" w:space="0" w:color="auto"/>
            <w:right w:val="none" w:sz="0" w:space="0" w:color="auto"/>
          </w:divBdr>
        </w:div>
        <w:div w:id="561715196">
          <w:marLeft w:val="0"/>
          <w:marRight w:val="0"/>
          <w:marTop w:val="0"/>
          <w:marBottom w:val="0"/>
          <w:divBdr>
            <w:top w:val="none" w:sz="0" w:space="0" w:color="auto"/>
            <w:left w:val="none" w:sz="0" w:space="0" w:color="auto"/>
            <w:bottom w:val="none" w:sz="0" w:space="0" w:color="auto"/>
            <w:right w:val="none" w:sz="0" w:space="0" w:color="auto"/>
          </w:divBdr>
        </w:div>
        <w:div w:id="918907281">
          <w:marLeft w:val="0"/>
          <w:marRight w:val="0"/>
          <w:marTop w:val="0"/>
          <w:marBottom w:val="0"/>
          <w:divBdr>
            <w:top w:val="none" w:sz="0" w:space="0" w:color="auto"/>
            <w:left w:val="none" w:sz="0" w:space="0" w:color="auto"/>
            <w:bottom w:val="none" w:sz="0" w:space="0" w:color="auto"/>
            <w:right w:val="none" w:sz="0" w:space="0" w:color="auto"/>
          </w:divBdr>
        </w:div>
        <w:div w:id="427047415">
          <w:marLeft w:val="0"/>
          <w:marRight w:val="0"/>
          <w:marTop w:val="0"/>
          <w:marBottom w:val="0"/>
          <w:divBdr>
            <w:top w:val="none" w:sz="0" w:space="0" w:color="auto"/>
            <w:left w:val="none" w:sz="0" w:space="0" w:color="auto"/>
            <w:bottom w:val="none" w:sz="0" w:space="0" w:color="auto"/>
            <w:right w:val="none" w:sz="0" w:space="0" w:color="auto"/>
          </w:divBdr>
        </w:div>
        <w:div w:id="1659268790">
          <w:marLeft w:val="0"/>
          <w:marRight w:val="0"/>
          <w:marTop w:val="0"/>
          <w:marBottom w:val="0"/>
          <w:divBdr>
            <w:top w:val="none" w:sz="0" w:space="0" w:color="auto"/>
            <w:left w:val="none" w:sz="0" w:space="0" w:color="auto"/>
            <w:bottom w:val="none" w:sz="0" w:space="0" w:color="auto"/>
            <w:right w:val="none" w:sz="0" w:space="0" w:color="auto"/>
          </w:divBdr>
        </w:div>
        <w:div w:id="1486122277">
          <w:marLeft w:val="0"/>
          <w:marRight w:val="0"/>
          <w:marTop w:val="0"/>
          <w:marBottom w:val="0"/>
          <w:divBdr>
            <w:top w:val="none" w:sz="0" w:space="0" w:color="auto"/>
            <w:left w:val="none" w:sz="0" w:space="0" w:color="auto"/>
            <w:bottom w:val="none" w:sz="0" w:space="0" w:color="auto"/>
            <w:right w:val="none" w:sz="0" w:space="0" w:color="auto"/>
          </w:divBdr>
        </w:div>
        <w:div w:id="1248266824">
          <w:marLeft w:val="0"/>
          <w:marRight w:val="0"/>
          <w:marTop w:val="0"/>
          <w:marBottom w:val="0"/>
          <w:divBdr>
            <w:top w:val="none" w:sz="0" w:space="0" w:color="auto"/>
            <w:left w:val="none" w:sz="0" w:space="0" w:color="auto"/>
            <w:bottom w:val="none" w:sz="0" w:space="0" w:color="auto"/>
            <w:right w:val="none" w:sz="0" w:space="0" w:color="auto"/>
          </w:divBdr>
        </w:div>
        <w:div w:id="1909001053">
          <w:marLeft w:val="0"/>
          <w:marRight w:val="0"/>
          <w:marTop w:val="0"/>
          <w:marBottom w:val="0"/>
          <w:divBdr>
            <w:top w:val="none" w:sz="0" w:space="0" w:color="auto"/>
            <w:left w:val="none" w:sz="0" w:space="0" w:color="auto"/>
            <w:bottom w:val="none" w:sz="0" w:space="0" w:color="auto"/>
            <w:right w:val="none" w:sz="0" w:space="0" w:color="auto"/>
          </w:divBdr>
        </w:div>
        <w:div w:id="2005860796">
          <w:marLeft w:val="0"/>
          <w:marRight w:val="0"/>
          <w:marTop w:val="0"/>
          <w:marBottom w:val="0"/>
          <w:divBdr>
            <w:top w:val="none" w:sz="0" w:space="0" w:color="auto"/>
            <w:left w:val="none" w:sz="0" w:space="0" w:color="auto"/>
            <w:bottom w:val="none" w:sz="0" w:space="0" w:color="auto"/>
            <w:right w:val="none" w:sz="0" w:space="0" w:color="auto"/>
          </w:divBdr>
        </w:div>
        <w:div w:id="2124958125">
          <w:marLeft w:val="0"/>
          <w:marRight w:val="0"/>
          <w:marTop w:val="0"/>
          <w:marBottom w:val="0"/>
          <w:divBdr>
            <w:top w:val="none" w:sz="0" w:space="0" w:color="auto"/>
            <w:left w:val="none" w:sz="0" w:space="0" w:color="auto"/>
            <w:bottom w:val="none" w:sz="0" w:space="0" w:color="auto"/>
            <w:right w:val="none" w:sz="0" w:space="0" w:color="auto"/>
          </w:divBdr>
        </w:div>
        <w:div w:id="255329080">
          <w:marLeft w:val="0"/>
          <w:marRight w:val="0"/>
          <w:marTop w:val="0"/>
          <w:marBottom w:val="0"/>
          <w:divBdr>
            <w:top w:val="none" w:sz="0" w:space="0" w:color="auto"/>
            <w:left w:val="none" w:sz="0" w:space="0" w:color="auto"/>
            <w:bottom w:val="none" w:sz="0" w:space="0" w:color="auto"/>
            <w:right w:val="none" w:sz="0" w:space="0" w:color="auto"/>
          </w:divBdr>
        </w:div>
        <w:div w:id="1953437499">
          <w:marLeft w:val="0"/>
          <w:marRight w:val="0"/>
          <w:marTop w:val="0"/>
          <w:marBottom w:val="0"/>
          <w:divBdr>
            <w:top w:val="none" w:sz="0" w:space="0" w:color="auto"/>
            <w:left w:val="none" w:sz="0" w:space="0" w:color="auto"/>
            <w:bottom w:val="none" w:sz="0" w:space="0" w:color="auto"/>
            <w:right w:val="none" w:sz="0" w:space="0" w:color="auto"/>
          </w:divBdr>
        </w:div>
        <w:div w:id="812909485">
          <w:marLeft w:val="0"/>
          <w:marRight w:val="0"/>
          <w:marTop w:val="0"/>
          <w:marBottom w:val="0"/>
          <w:divBdr>
            <w:top w:val="none" w:sz="0" w:space="0" w:color="auto"/>
            <w:left w:val="none" w:sz="0" w:space="0" w:color="auto"/>
            <w:bottom w:val="none" w:sz="0" w:space="0" w:color="auto"/>
            <w:right w:val="none" w:sz="0" w:space="0" w:color="auto"/>
          </w:divBdr>
        </w:div>
        <w:div w:id="485240394">
          <w:marLeft w:val="0"/>
          <w:marRight w:val="0"/>
          <w:marTop w:val="0"/>
          <w:marBottom w:val="0"/>
          <w:divBdr>
            <w:top w:val="none" w:sz="0" w:space="0" w:color="auto"/>
            <w:left w:val="none" w:sz="0" w:space="0" w:color="auto"/>
            <w:bottom w:val="none" w:sz="0" w:space="0" w:color="auto"/>
            <w:right w:val="none" w:sz="0" w:space="0" w:color="auto"/>
          </w:divBdr>
        </w:div>
        <w:div w:id="1768694293">
          <w:marLeft w:val="0"/>
          <w:marRight w:val="0"/>
          <w:marTop w:val="0"/>
          <w:marBottom w:val="0"/>
          <w:divBdr>
            <w:top w:val="none" w:sz="0" w:space="0" w:color="auto"/>
            <w:left w:val="none" w:sz="0" w:space="0" w:color="auto"/>
            <w:bottom w:val="none" w:sz="0" w:space="0" w:color="auto"/>
            <w:right w:val="none" w:sz="0" w:space="0" w:color="auto"/>
          </w:divBdr>
        </w:div>
        <w:div w:id="430395705">
          <w:marLeft w:val="0"/>
          <w:marRight w:val="0"/>
          <w:marTop w:val="0"/>
          <w:marBottom w:val="0"/>
          <w:divBdr>
            <w:top w:val="none" w:sz="0" w:space="0" w:color="auto"/>
            <w:left w:val="none" w:sz="0" w:space="0" w:color="auto"/>
            <w:bottom w:val="none" w:sz="0" w:space="0" w:color="auto"/>
            <w:right w:val="none" w:sz="0" w:space="0" w:color="auto"/>
          </w:divBdr>
        </w:div>
        <w:div w:id="544563217">
          <w:marLeft w:val="0"/>
          <w:marRight w:val="0"/>
          <w:marTop w:val="0"/>
          <w:marBottom w:val="0"/>
          <w:divBdr>
            <w:top w:val="none" w:sz="0" w:space="0" w:color="auto"/>
            <w:left w:val="none" w:sz="0" w:space="0" w:color="auto"/>
            <w:bottom w:val="none" w:sz="0" w:space="0" w:color="auto"/>
            <w:right w:val="none" w:sz="0" w:space="0" w:color="auto"/>
          </w:divBdr>
        </w:div>
        <w:div w:id="130564637">
          <w:marLeft w:val="0"/>
          <w:marRight w:val="0"/>
          <w:marTop w:val="0"/>
          <w:marBottom w:val="0"/>
          <w:divBdr>
            <w:top w:val="none" w:sz="0" w:space="0" w:color="auto"/>
            <w:left w:val="none" w:sz="0" w:space="0" w:color="auto"/>
            <w:bottom w:val="none" w:sz="0" w:space="0" w:color="auto"/>
            <w:right w:val="none" w:sz="0" w:space="0" w:color="auto"/>
          </w:divBdr>
        </w:div>
        <w:div w:id="2114280795">
          <w:marLeft w:val="0"/>
          <w:marRight w:val="0"/>
          <w:marTop w:val="0"/>
          <w:marBottom w:val="0"/>
          <w:divBdr>
            <w:top w:val="none" w:sz="0" w:space="0" w:color="auto"/>
            <w:left w:val="none" w:sz="0" w:space="0" w:color="auto"/>
            <w:bottom w:val="none" w:sz="0" w:space="0" w:color="auto"/>
            <w:right w:val="none" w:sz="0" w:space="0" w:color="auto"/>
          </w:divBdr>
        </w:div>
        <w:div w:id="41488458">
          <w:marLeft w:val="0"/>
          <w:marRight w:val="0"/>
          <w:marTop w:val="0"/>
          <w:marBottom w:val="0"/>
          <w:divBdr>
            <w:top w:val="none" w:sz="0" w:space="0" w:color="auto"/>
            <w:left w:val="none" w:sz="0" w:space="0" w:color="auto"/>
            <w:bottom w:val="none" w:sz="0" w:space="0" w:color="auto"/>
            <w:right w:val="none" w:sz="0" w:space="0" w:color="auto"/>
          </w:divBdr>
        </w:div>
        <w:div w:id="1685589505">
          <w:marLeft w:val="0"/>
          <w:marRight w:val="0"/>
          <w:marTop w:val="0"/>
          <w:marBottom w:val="0"/>
          <w:divBdr>
            <w:top w:val="none" w:sz="0" w:space="0" w:color="auto"/>
            <w:left w:val="none" w:sz="0" w:space="0" w:color="auto"/>
            <w:bottom w:val="none" w:sz="0" w:space="0" w:color="auto"/>
            <w:right w:val="none" w:sz="0" w:space="0" w:color="auto"/>
          </w:divBdr>
        </w:div>
        <w:div w:id="1495217412">
          <w:marLeft w:val="0"/>
          <w:marRight w:val="0"/>
          <w:marTop w:val="0"/>
          <w:marBottom w:val="0"/>
          <w:divBdr>
            <w:top w:val="none" w:sz="0" w:space="0" w:color="auto"/>
            <w:left w:val="none" w:sz="0" w:space="0" w:color="auto"/>
            <w:bottom w:val="none" w:sz="0" w:space="0" w:color="auto"/>
            <w:right w:val="none" w:sz="0" w:space="0" w:color="auto"/>
          </w:divBdr>
        </w:div>
        <w:div w:id="1682775502">
          <w:marLeft w:val="0"/>
          <w:marRight w:val="0"/>
          <w:marTop w:val="0"/>
          <w:marBottom w:val="0"/>
          <w:divBdr>
            <w:top w:val="none" w:sz="0" w:space="0" w:color="auto"/>
            <w:left w:val="none" w:sz="0" w:space="0" w:color="auto"/>
            <w:bottom w:val="none" w:sz="0" w:space="0" w:color="auto"/>
            <w:right w:val="none" w:sz="0" w:space="0" w:color="auto"/>
          </w:divBdr>
        </w:div>
        <w:div w:id="1949005270">
          <w:marLeft w:val="0"/>
          <w:marRight w:val="0"/>
          <w:marTop w:val="0"/>
          <w:marBottom w:val="0"/>
          <w:divBdr>
            <w:top w:val="none" w:sz="0" w:space="0" w:color="auto"/>
            <w:left w:val="none" w:sz="0" w:space="0" w:color="auto"/>
            <w:bottom w:val="none" w:sz="0" w:space="0" w:color="auto"/>
            <w:right w:val="none" w:sz="0" w:space="0" w:color="auto"/>
          </w:divBdr>
        </w:div>
        <w:div w:id="881792677">
          <w:marLeft w:val="0"/>
          <w:marRight w:val="0"/>
          <w:marTop w:val="0"/>
          <w:marBottom w:val="0"/>
          <w:divBdr>
            <w:top w:val="none" w:sz="0" w:space="0" w:color="auto"/>
            <w:left w:val="none" w:sz="0" w:space="0" w:color="auto"/>
            <w:bottom w:val="none" w:sz="0" w:space="0" w:color="auto"/>
            <w:right w:val="none" w:sz="0" w:space="0" w:color="auto"/>
          </w:divBdr>
        </w:div>
        <w:div w:id="1434589779">
          <w:marLeft w:val="0"/>
          <w:marRight w:val="0"/>
          <w:marTop w:val="0"/>
          <w:marBottom w:val="0"/>
          <w:divBdr>
            <w:top w:val="none" w:sz="0" w:space="0" w:color="auto"/>
            <w:left w:val="none" w:sz="0" w:space="0" w:color="auto"/>
            <w:bottom w:val="none" w:sz="0" w:space="0" w:color="auto"/>
            <w:right w:val="none" w:sz="0" w:space="0" w:color="auto"/>
          </w:divBdr>
        </w:div>
        <w:div w:id="1695184058">
          <w:marLeft w:val="0"/>
          <w:marRight w:val="0"/>
          <w:marTop w:val="0"/>
          <w:marBottom w:val="0"/>
          <w:divBdr>
            <w:top w:val="none" w:sz="0" w:space="0" w:color="auto"/>
            <w:left w:val="none" w:sz="0" w:space="0" w:color="auto"/>
            <w:bottom w:val="none" w:sz="0" w:space="0" w:color="auto"/>
            <w:right w:val="none" w:sz="0" w:space="0" w:color="auto"/>
          </w:divBdr>
        </w:div>
        <w:div w:id="770049091">
          <w:marLeft w:val="0"/>
          <w:marRight w:val="0"/>
          <w:marTop w:val="0"/>
          <w:marBottom w:val="0"/>
          <w:divBdr>
            <w:top w:val="none" w:sz="0" w:space="0" w:color="auto"/>
            <w:left w:val="none" w:sz="0" w:space="0" w:color="auto"/>
            <w:bottom w:val="none" w:sz="0" w:space="0" w:color="auto"/>
            <w:right w:val="none" w:sz="0" w:space="0" w:color="auto"/>
          </w:divBdr>
        </w:div>
        <w:div w:id="111246269">
          <w:marLeft w:val="0"/>
          <w:marRight w:val="0"/>
          <w:marTop w:val="0"/>
          <w:marBottom w:val="0"/>
          <w:divBdr>
            <w:top w:val="none" w:sz="0" w:space="0" w:color="auto"/>
            <w:left w:val="none" w:sz="0" w:space="0" w:color="auto"/>
            <w:bottom w:val="none" w:sz="0" w:space="0" w:color="auto"/>
            <w:right w:val="none" w:sz="0" w:space="0" w:color="auto"/>
          </w:divBdr>
        </w:div>
        <w:div w:id="1044447944">
          <w:marLeft w:val="0"/>
          <w:marRight w:val="0"/>
          <w:marTop w:val="0"/>
          <w:marBottom w:val="0"/>
          <w:divBdr>
            <w:top w:val="none" w:sz="0" w:space="0" w:color="auto"/>
            <w:left w:val="none" w:sz="0" w:space="0" w:color="auto"/>
            <w:bottom w:val="none" w:sz="0" w:space="0" w:color="auto"/>
            <w:right w:val="none" w:sz="0" w:space="0" w:color="auto"/>
          </w:divBdr>
        </w:div>
        <w:div w:id="1137072074">
          <w:marLeft w:val="0"/>
          <w:marRight w:val="0"/>
          <w:marTop w:val="0"/>
          <w:marBottom w:val="0"/>
          <w:divBdr>
            <w:top w:val="none" w:sz="0" w:space="0" w:color="auto"/>
            <w:left w:val="none" w:sz="0" w:space="0" w:color="auto"/>
            <w:bottom w:val="none" w:sz="0" w:space="0" w:color="auto"/>
            <w:right w:val="none" w:sz="0" w:space="0" w:color="auto"/>
          </w:divBdr>
        </w:div>
        <w:div w:id="1969822242">
          <w:marLeft w:val="0"/>
          <w:marRight w:val="0"/>
          <w:marTop w:val="0"/>
          <w:marBottom w:val="0"/>
          <w:divBdr>
            <w:top w:val="none" w:sz="0" w:space="0" w:color="auto"/>
            <w:left w:val="none" w:sz="0" w:space="0" w:color="auto"/>
            <w:bottom w:val="none" w:sz="0" w:space="0" w:color="auto"/>
            <w:right w:val="none" w:sz="0" w:space="0" w:color="auto"/>
          </w:divBdr>
        </w:div>
        <w:div w:id="711811352">
          <w:marLeft w:val="0"/>
          <w:marRight w:val="0"/>
          <w:marTop w:val="0"/>
          <w:marBottom w:val="0"/>
          <w:divBdr>
            <w:top w:val="none" w:sz="0" w:space="0" w:color="auto"/>
            <w:left w:val="none" w:sz="0" w:space="0" w:color="auto"/>
            <w:bottom w:val="none" w:sz="0" w:space="0" w:color="auto"/>
            <w:right w:val="none" w:sz="0" w:space="0" w:color="auto"/>
          </w:divBdr>
        </w:div>
        <w:div w:id="158428554">
          <w:marLeft w:val="0"/>
          <w:marRight w:val="0"/>
          <w:marTop w:val="0"/>
          <w:marBottom w:val="0"/>
          <w:divBdr>
            <w:top w:val="none" w:sz="0" w:space="0" w:color="auto"/>
            <w:left w:val="none" w:sz="0" w:space="0" w:color="auto"/>
            <w:bottom w:val="none" w:sz="0" w:space="0" w:color="auto"/>
            <w:right w:val="none" w:sz="0" w:space="0" w:color="auto"/>
          </w:divBdr>
        </w:div>
        <w:div w:id="1876962346">
          <w:marLeft w:val="0"/>
          <w:marRight w:val="0"/>
          <w:marTop w:val="0"/>
          <w:marBottom w:val="0"/>
          <w:divBdr>
            <w:top w:val="none" w:sz="0" w:space="0" w:color="auto"/>
            <w:left w:val="none" w:sz="0" w:space="0" w:color="auto"/>
            <w:bottom w:val="none" w:sz="0" w:space="0" w:color="auto"/>
            <w:right w:val="none" w:sz="0" w:space="0" w:color="auto"/>
          </w:divBdr>
        </w:div>
        <w:div w:id="1801681759">
          <w:marLeft w:val="0"/>
          <w:marRight w:val="0"/>
          <w:marTop w:val="0"/>
          <w:marBottom w:val="0"/>
          <w:divBdr>
            <w:top w:val="none" w:sz="0" w:space="0" w:color="auto"/>
            <w:left w:val="none" w:sz="0" w:space="0" w:color="auto"/>
            <w:bottom w:val="none" w:sz="0" w:space="0" w:color="auto"/>
            <w:right w:val="none" w:sz="0" w:space="0" w:color="auto"/>
          </w:divBdr>
        </w:div>
        <w:div w:id="560018153">
          <w:marLeft w:val="0"/>
          <w:marRight w:val="0"/>
          <w:marTop w:val="0"/>
          <w:marBottom w:val="0"/>
          <w:divBdr>
            <w:top w:val="none" w:sz="0" w:space="0" w:color="auto"/>
            <w:left w:val="none" w:sz="0" w:space="0" w:color="auto"/>
            <w:bottom w:val="none" w:sz="0" w:space="0" w:color="auto"/>
            <w:right w:val="none" w:sz="0" w:space="0" w:color="auto"/>
          </w:divBdr>
        </w:div>
        <w:div w:id="711727888">
          <w:marLeft w:val="0"/>
          <w:marRight w:val="0"/>
          <w:marTop w:val="0"/>
          <w:marBottom w:val="0"/>
          <w:divBdr>
            <w:top w:val="none" w:sz="0" w:space="0" w:color="auto"/>
            <w:left w:val="none" w:sz="0" w:space="0" w:color="auto"/>
            <w:bottom w:val="none" w:sz="0" w:space="0" w:color="auto"/>
            <w:right w:val="none" w:sz="0" w:space="0" w:color="auto"/>
          </w:divBdr>
        </w:div>
        <w:div w:id="1447117364">
          <w:marLeft w:val="0"/>
          <w:marRight w:val="0"/>
          <w:marTop w:val="0"/>
          <w:marBottom w:val="0"/>
          <w:divBdr>
            <w:top w:val="none" w:sz="0" w:space="0" w:color="auto"/>
            <w:left w:val="none" w:sz="0" w:space="0" w:color="auto"/>
            <w:bottom w:val="none" w:sz="0" w:space="0" w:color="auto"/>
            <w:right w:val="none" w:sz="0" w:space="0" w:color="auto"/>
          </w:divBdr>
        </w:div>
        <w:div w:id="1481340713">
          <w:marLeft w:val="0"/>
          <w:marRight w:val="0"/>
          <w:marTop w:val="0"/>
          <w:marBottom w:val="0"/>
          <w:divBdr>
            <w:top w:val="none" w:sz="0" w:space="0" w:color="auto"/>
            <w:left w:val="none" w:sz="0" w:space="0" w:color="auto"/>
            <w:bottom w:val="none" w:sz="0" w:space="0" w:color="auto"/>
            <w:right w:val="none" w:sz="0" w:space="0" w:color="auto"/>
          </w:divBdr>
        </w:div>
        <w:div w:id="2055037007">
          <w:marLeft w:val="0"/>
          <w:marRight w:val="0"/>
          <w:marTop w:val="0"/>
          <w:marBottom w:val="0"/>
          <w:divBdr>
            <w:top w:val="none" w:sz="0" w:space="0" w:color="auto"/>
            <w:left w:val="none" w:sz="0" w:space="0" w:color="auto"/>
            <w:bottom w:val="none" w:sz="0" w:space="0" w:color="auto"/>
            <w:right w:val="none" w:sz="0" w:space="0" w:color="auto"/>
          </w:divBdr>
        </w:div>
        <w:div w:id="1639677484">
          <w:marLeft w:val="0"/>
          <w:marRight w:val="0"/>
          <w:marTop w:val="0"/>
          <w:marBottom w:val="0"/>
          <w:divBdr>
            <w:top w:val="none" w:sz="0" w:space="0" w:color="auto"/>
            <w:left w:val="none" w:sz="0" w:space="0" w:color="auto"/>
            <w:bottom w:val="none" w:sz="0" w:space="0" w:color="auto"/>
            <w:right w:val="none" w:sz="0" w:space="0" w:color="auto"/>
          </w:divBdr>
        </w:div>
        <w:div w:id="2106420120">
          <w:marLeft w:val="0"/>
          <w:marRight w:val="0"/>
          <w:marTop w:val="0"/>
          <w:marBottom w:val="0"/>
          <w:divBdr>
            <w:top w:val="none" w:sz="0" w:space="0" w:color="auto"/>
            <w:left w:val="none" w:sz="0" w:space="0" w:color="auto"/>
            <w:bottom w:val="none" w:sz="0" w:space="0" w:color="auto"/>
            <w:right w:val="none" w:sz="0" w:space="0" w:color="auto"/>
          </w:divBdr>
        </w:div>
        <w:div w:id="1062094024">
          <w:marLeft w:val="0"/>
          <w:marRight w:val="0"/>
          <w:marTop w:val="0"/>
          <w:marBottom w:val="0"/>
          <w:divBdr>
            <w:top w:val="none" w:sz="0" w:space="0" w:color="auto"/>
            <w:left w:val="none" w:sz="0" w:space="0" w:color="auto"/>
            <w:bottom w:val="none" w:sz="0" w:space="0" w:color="auto"/>
            <w:right w:val="none" w:sz="0" w:space="0" w:color="auto"/>
          </w:divBdr>
        </w:div>
        <w:div w:id="1544899569">
          <w:marLeft w:val="0"/>
          <w:marRight w:val="0"/>
          <w:marTop w:val="0"/>
          <w:marBottom w:val="0"/>
          <w:divBdr>
            <w:top w:val="none" w:sz="0" w:space="0" w:color="auto"/>
            <w:left w:val="none" w:sz="0" w:space="0" w:color="auto"/>
            <w:bottom w:val="none" w:sz="0" w:space="0" w:color="auto"/>
            <w:right w:val="none" w:sz="0" w:space="0" w:color="auto"/>
          </w:divBdr>
        </w:div>
        <w:div w:id="45573844">
          <w:marLeft w:val="0"/>
          <w:marRight w:val="0"/>
          <w:marTop w:val="0"/>
          <w:marBottom w:val="0"/>
          <w:divBdr>
            <w:top w:val="none" w:sz="0" w:space="0" w:color="auto"/>
            <w:left w:val="none" w:sz="0" w:space="0" w:color="auto"/>
            <w:bottom w:val="none" w:sz="0" w:space="0" w:color="auto"/>
            <w:right w:val="none" w:sz="0" w:space="0" w:color="auto"/>
          </w:divBdr>
        </w:div>
        <w:div w:id="1912961502">
          <w:marLeft w:val="0"/>
          <w:marRight w:val="0"/>
          <w:marTop w:val="0"/>
          <w:marBottom w:val="0"/>
          <w:divBdr>
            <w:top w:val="none" w:sz="0" w:space="0" w:color="auto"/>
            <w:left w:val="none" w:sz="0" w:space="0" w:color="auto"/>
            <w:bottom w:val="none" w:sz="0" w:space="0" w:color="auto"/>
            <w:right w:val="none" w:sz="0" w:space="0" w:color="auto"/>
          </w:divBdr>
        </w:div>
        <w:div w:id="1411929472">
          <w:marLeft w:val="0"/>
          <w:marRight w:val="0"/>
          <w:marTop w:val="0"/>
          <w:marBottom w:val="0"/>
          <w:divBdr>
            <w:top w:val="none" w:sz="0" w:space="0" w:color="auto"/>
            <w:left w:val="none" w:sz="0" w:space="0" w:color="auto"/>
            <w:bottom w:val="none" w:sz="0" w:space="0" w:color="auto"/>
            <w:right w:val="none" w:sz="0" w:space="0" w:color="auto"/>
          </w:divBdr>
        </w:div>
        <w:div w:id="881601382">
          <w:marLeft w:val="0"/>
          <w:marRight w:val="0"/>
          <w:marTop w:val="0"/>
          <w:marBottom w:val="0"/>
          <w:divBdr>
            <w:top w:val="none" w:sz="0" w:space="0" w:color="auto"/>
            <w:left w:val="none" w:sz="0" w:space="0" w:color="auto"/>
            <w:bottom w:val="none" w:sz="0" w:space="0" w:color="auto"/>
            <w:right w:val="none" w:sz="0" w:space="0" w:color="auto"/>
          </w:divBdr>
        </w:div>
        <w:div w:id="13042613">
          <w:marLeft w:val="0"/>
          <w:marRight w:val="0"/>
          <w:marTop w:val="0"/>
          <w:marBottom w:val="0"/>
          <w:divBdr>
            <w:top w:val="none" w:sz="0" w:space="0" w:color="auto"/>
            <w:left w:val="none" w:sz="0" w:space="0" w:color="auto"/>
            <w:bottom w:val="none" w:sz="0" w:space="0" w:color="auto"/>
            <w:right w:val="none" w:sz="0" w:space="0" w:color="auto"/>
          </w:divBdr>
        </w:div>
        <w:div w:id="1002388953">
          <w:marLeft w:val="0"/>
          <w:marRight w:val="0"/>
          <w:marTop w:val="0"/>
          <w:marBottom w:val="0"/>
          <w:divBdr>
            <w:top w:val="none" w:sz="0" w:space="0" w:color="auto"/>
            <w:left w:val="none" w:sz="0" w:space="0" w:color="auto"/>
            <w:bottom w:val="none" w:sz="0" w:space="0" w:color="auto"/>
            <w:right w:val="none" w:sz="0" w:space="0" w:color="auto"/>
          </w:divBdr>
        </w:div>
        <w:div w:id="1422291925">
          <w:marLeft w:val="0"/>
          <w:marRight w:val="0"/>
          <w:marTop w:val="0"/>
          <w:marBottom w:val="0"/>
          <w:divBdr>
            <w:top w:val="none" w:sz="0" w:space="0" w:color="auto"/>
            <w:left w:val="none" w:sz="0" w:space="0" w:color="auto"/>
            <w:bottom w:val="none" w:sz="0" w:space="0" w:color="auto"/>
            <w:right w:val="none" w:sz="0" w:space="0" w:color="auto"/>
          </w:divBdr>
        </w:div>
        <w:div w:id="1279801609">
          <w:marLeft w:val="0"/>
          <w:marRight w:val="0"/>
          <w:marTop w:val="0"/>
          <w:marBottom w:val="0"/>
          <w:divBdr>
            <w:top w:val="none" w:sz="0" w:space="0" w:color="auto"/>
            <w:left w:val="none" w:sz="0" w:space="0" w:color="auto"/>
            <w:bottom w:val="none" w:sz="0" w:space="0" w:color="auto"/>
            <w:right w:val="none" w:sz="0" w:space="0" w:color="auto"/>
          </w:divBdr>
        </w:div>
        <w:div w:id="962690641">
          <w:marLeft w:val="0"/>
          <w:marRight w:val="0"/>
          <w:marTop w:val="0"/>
          <w:marBottom w:val="0"/>
          <w:divBdr>
            <w:top w:val="none" w:sz="0" w:space="0" w:color="auto"/>
            <w:left w:val="none" w:sz="0" w:space="0" w:color="auto"/>
            <w:bottom w:val="none" w:sz="0" w:space="0" w:color="auto"/>
            <w:right w:val="none" w:sz="0" w:space="0" w:color="auto"/>
          </w:divBdr>
        </w:div>
        <w:div w:id="78451869">
          <w:marLeft w:val="0"/>
          <w:marRight w:val="0"/>
          <w:marTop w:val="0"/>
          <w:marBottom w:val="0"/>
          <w:divBdr>
            <w:top w:val="none" w:sz="0" w:space="0" w:color="auto"/>
            <w:left w:val="none" w:sz="0" w:space="0" w:color="auto"/>
            <w:bottom w:val="none" w:sz="0" w:space="0" w:color="auto"/>
            <w:right w:val="none" w:sz="0" w:space="0" w:color="auto"/>
          </w:divBdr>
        </w:div>
        <w:div w:id="1616250015">
          <w:marLeft w:val="0"/>
          <w:marRight w:val="0"/>
          <w:marTop w:val="0"/>
          <w:marBottom w:val="0"/>
          <w:divBdr>
            <w:top w:val="none" w:sz="0" w:space="0" w:color="auto"/>
            <w:left w:val="none" w:sz="0" w:space="0" w:color="auto"/>
            <w:bottom w:val="none" w:sz="0" w:space="0" w:color="auto"/>
            <w:right w:val="none" w:sz="0" w:space="0" w:color="auto"/>
          </w:divBdr>
        </w:div>
        <w:div w:id="1450929212">
          <w:marLeft w:val="0"/>
          <w:marRight w:val="0"/>
          <w:marTop w:val="0"/>
          <w:marBottom w:val="0"/>
          <w:divBdr>
            <w:top w:val="none" w:sz="0" w:space="0" w:color="auto"/>
            <w:left w:val="none" w:sz="0" w:space="0" w:color="auto"/>
            <w:bottom w:val="none" w:sz="0" w:space="0" w:color="auto"/>
            <w:right w:val="none" w:sz="0" w:space="0" w:color="auto"/>
          </w:divBdr>
        </w:div>
        <w:div w:id="1946574630">
          <w:marLeft w:val="0"/>
          <w:marRight w:val="0"/>
          <w:marTop w:val="0"/>
          <w:marBottom w:val="0"/>
          <w:divBdr>
            <w:top w:val="none" w:sz="0" w:space="0" w:color="auto"/>
            <w:left w:val="none" w:sz="0" w:space="0" w:color="auto"/>
            <w:bottom w:val="none" w:sz="0" w:space="0" w:color="auto"/>
            <w:right w:val="none" w:sz="0" w:space="0" w:color="auto"/>
          </w:divBdr>
        </w:div>
        <w:div w:id="1637951426">
          <w:marLeft w:val="0"/>
          <w:marRight w:val="0"/>
          <w:marTop w:val="0"/>
          <w:marBottom w:val="0"/>
          <w:divBdr>
            <w:top w:val="none" w:sz="0" w:space="0" w:color="auto"/>
            <w:left w:val="none" w:sz="0" w:space="0" w:color="auto"/>
            <w:bottom w:val="none" w:sz="0" w:space="0" w:color="auto"/>
            <w:right w:val="none" w:sz="0" w:space="0" w:color="auto"/>
          </w:divBdr>
        </w:div>
        <w:div w:id="1137600377">
          <w:marLeft w:val="0"/>
          <w:marRight w:val="0"/>
          <w:marTop w:val="0"/>
          <w:marBottom w:val="0"/>
          <w:divBdr>
            <w:top w:val="none" w:sz="0" w:space="0" w:color="auto"/>
            <w:left w:val="none" w:sz="0" w:space="0" w:color="auto"/>
            <w:bottom w:val="none" w:sz="0" w:space="0" w:color="auto"/>
            <w:right w:val="none" w:sz="0" w:space="0" w:color="auto"/>
          </w:divBdr>
        </w:div>
        <w:div w:id="672413347">
          <w:marLeft w:val="0"/>
          <w:marRight w:val="0"/>
          <w:marTop w:val="0"/>
          <w:marBottom w:val="0"/>
          <w:divBdr>
            <w:top w:val="none" w:sz="0" w:space="0" w:color="auto"/>
            <w:left w:val="none" w:sz="0" w:space="0" w:color="auto"/>
            <w:bottom w:val="none" w:sz="0" w:space="0" w:color="auto"/>
            <w:right w:val="none" w:sz="0" w:space="0" w:color="auto"/>
          </w:divBdr>
        </w:div>
        <w:div w:id="886988461">
          <w:marLeft w:val="0"/>
          <w:marRight w:val="0"/>
          <w:marTop w:val="0"/>
          <w:marBottom w:val="0"/>
          <w:divBdr>
            <w:top w:val="none" w:sz="0" w:space="0" w:color="auto"/>
            <w:left w:val="none" w:sz="0" w:space="0" w:color="auto"/>
            <w:bottom w:val="none" w:sz="0" w:space="0" w:color="auto"/>
            <w:right w:val="none" w:sz="0" w:space="0" w:color="auto"/>
          </w:divBdr>
        </w:div>
        <w:div w:id="852840145">
          <w:marLeft w:val="0"/>
          <w:marRight w:val="0"/>
          <w:marTop w:val="0"/>
          <w:marBottom w:val="0"/>
          <w:divBdr>
            <w:top w:val="none" w:sz="0" w:space="0" w:color="auto"/>
            <w:left w:val="none" w:sz="0" w:space="0" w:color="auto"/>
            <w:bottom w:val="none" w:sz="0" w:space="0" w:color="auto"/>
            <w:right w:val="none" w:sz="0" w:space="0" w:color="auto"/>
          </w:divBdr>
        </w:div>
        <w:div w:id="1486356619">
          <w:marLeft w:val="0"/>
          <w:marRight w:val="0"/>
          <w:marTop w:val="0"/>
          <w:marBottom w:val="0"/>
          <w:divBdr>
            <w:top w:val="none" w:sz="0" w:space="0" w:color="auto"/>
            <w:left w:val="none" w:sz="0" w:space="0" w:color="auto"/>
            <w:bottom w:val="none" w:sz="0" w:space="0" w:color="auto"/>
            <w:right w:val="none" w:sz="0" w:space="0" w:color="auto"/>
          </w:divBdr>
        </w:div>
        <w:div w:id="1377702982">
          <w:marLeft w:val="0"/>
          <w:marRight w:val="0"/>
          <w:marTop w:val="0"/>
          <w:marBottom w:val="0"/>
          <w:divBdr>
            <w:top w:val="none" w:sz="0" w:space="0" w:color="auto"/>
            <w:left w:val="none" w:sz="0" w:space="0" w:color="auto"/>
            <w:bottom w:val="none" w:sz="0" w:space="0" w:color="auto"/>
            <w:right w:val="none" w:sz="0" w:space="0" w:color="auto"/>
          </w:divBdr>
        </w:div>
        <w:div w:id="1446922983">
          <w:marLeft w:val="0"/>
          <w:marRight w:val="0"/>
          <w:marTop w:val="0"/>
          <w:marBottom w:val="0"/>
          <w:divBdr>
            <w:top w:val="none" w:sz="0" w:space="0" w:color="auto"/>
            <w:left w:val="none" w:sz="0" w:space="0" w:color="auto"/>
            <w:bottom w:val="none" w:sz="0" w:space="0" w:color="auto"/>
            <w:right w:val="none" w:sz="0" w:space="0" w:color="auto"/>
          </w:divBdr>
        </w:div>
        <w:div w:id="216281651">
          <w:marLeft w:val="0"/>
          <w:marRight w:val="0"/>
          <w:marTop w:val="0"/>
          <w:marBottom w:val="0"/>
          <w:divBdr>
            <w:top w:val="none" w:sz="0" w:space="0" w:color="auto"/>
            <w:left w:val="none" w:sz="0" w:space="0" w:color="auto"/>
            <w:bottom w:val="none" w:sz="0" w:space="0" w:color="auto"/>
            <w:right w:val="none" w:sz="0" w:space="0" w:color="auto"/>
          </w:divBdr>
        </w:div>
        <w:div w:id="1443500930">
          <w:marLeft w:val="0"/>
          <w:marRight w:val="0"/>
          <w:marTop w:val="0"/>
          <w:marBottom w:val="0"/>
          <w:divBdr>
            <w:top w:val="none" w:sz="0" w:space="0" w:color="auto"/>
            <w:left w:val="none" w:sz="0" w:space="0" w:color="auto"/>
            <w:bottom w:val="none" w:sz="0" w:space="0" w:color="auto"/>
            <w:right w:val="none" w:sz="0" w:space="0" w:color="auto"/>
          </w:divBdr>
        </w:div>
        <w:div w:id="1631934893">
          <w:marLeft w:val="0"/>
          <w:marRight w:val="0"/>
          <w:marTop w:val="0"/>
          <w:marBottom w:val="0"/>
          <w:divBdr>
            <w:top w:val="none" w:sz="0" w:space="0" w:color="auto"/>
            <w:left w:val="none" w:sz="0" w:space="0" w:color="auto"/>
            <w:bottom w:val="none" w:sz="0" w:space="0" w:color="auto"/>
            <w:right w:val="none" w:sz="0" w:space="0" w:color="auto"/>
          </w:divBdr>
        </w:div>
        <w:div w:id="1371611161">
          <w:marLeft w:val="0"/>
          <w:marRight w:val="0"/>
          <w:marTop w:val="0"/>
          <w:marBottom w:val="0"/>
          <w:divBdr>
            <w:top w:val="none" w:sz="0" w:space="0" w:color="auto"/>
            <w:left w:val="none" w:sz="0" w:space="0" w:color="auto"/>
            <w:bottom w:val="none" w:sz="0" w:space="0" w:color="auto"/>
            <w:right w:val="none" w:sz="0" w:space="0" w:color="auto"/>
          </w:divBdr>
        </w:div>
        <w:div w:id="1583025676">
          <w:marLeft w:val="0"/>
          <w:marRight w:val="0"/>
          <w:marTop w:val="0"/>
          <w:marBottom w:val="0"/>
          <w:divBdr>
            <w:top w:val="none" w:sz="0" w:space="0" w:color="auto"/>
            <w:left w:val="none" w:sz="0" w:space="0" w:color="auto"/>
            <w:bottom w:val="none" w:sz="0" w:space="0" w:color="auto"/>
            <w:right w:val="none" w:sz="0" w:space="0" w:color="auto"/>
          </w:divBdr>
        </w:div>
        <w:div w:id="1720282735">
          <w:marLeft w:val="0"/>
          <w:marRight w:val="0"/>
          <w:marTop w:val="0"/>
          <w:marBottom w:val="0"/>
          <w:divBdr>
            <w:top w:val="none" w:sz="0" w:space="0" w:color="auto"/>
            <w:left w:val="none" w:sz="0" w:space="0" w:color="auto"/>
            <w:bottom w:val="none" w:sz="0" w:space="0" w:color="auto"/>
            <w:right w:val="none" w:sz="0" w:space="0" w:color="auto"/>
          </w:divBdr>
        </w:div>
      </w:divsChild>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3F71C-97F9-AE45-8886-A38558C12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11</Pages>
  <Words>4534</Words>
  <Characters>25850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Callihan</dc:creator>
  <cp:lastModifiedBy>Rene Mendez</cp:lastModifiedBy>
  <cp:revision>24</cp:revision>
  <cp:lastPrinted>2017-03-14T15:41:00Z</cp:lastPrinted>
  <dcterms:created xsi:type="dcterms:W3CDTF">2024-08-15T14:56:00Z</dcterms:created>
  <dcterms:modified xsi:type="dcterms:W3CDTF">2024-08-16T18:38:00Z</dcterms:modified>
</cp:coreProperties>
</file>